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Football Coach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Football coach with several seasons working across community and representative squads, focused on skill development and clear match-day decision making. Plans full training blocks, reviews footage and workload data, and communicates confidently with players, parents, support staff and club officials. Holds a Football Australia coaching licence, a current first aid certificate and a Working with Children Check.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Session planning and delivery across technical, tactical and physical themes   •   Strategy development and match-day tactics, including substitutions   •   Fitness coaching and instruction, including warm-ups and recovery sessions   •   Video analysis with Hudl and Sportscode   •   Athlete workload monitoring with Catapult GPS   •   Squad and fixture management in TeamSnap   •   Player tracking and reporting in Microsoft Excel   •   Teaching and instruction for junior and senior players   •   People leadership of players, assistant coaches and volunteers   •   Member protection and child-safe practice   •   Written communication with parents, clubs and officials   •   Problem solving under match-day time pressure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Football Coach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Planned and delivered three sessions a week for a 20-player squad, mapping each block to the upcoming fixture and adjusting load in consultation with the club physiotherapist.</w:t>
      </w:r>
    </w:p>
    <w:p>
      <w:pPr>
        <w:pStyle w:val="ListBullet"/>
        <w:spacing w:after="80" w:line="276" w:lineRule="auto"/>
      </w:pPr>
      <w:r>
        <w:t>Used Hudl to clip matches for weekly individual and unit review, which reduced goals conceded from set pieces across a full season from nine to three.</w:t>
      </w:r>
    </w:p>
    <w:p>
      <w:pPr>
        <w:pStyle w:val="ListBullet"/>
        <w:spacing w:after="80" w:line="276" w:lineRule="auto"/>
      </w:pPr>
      <w:r>
        <w:t>Selected teams and set match-day tactics across a 22-round season, managing substitutions for a squad of 18 and rotating minutes to keep younger players developing.</w:t>
      </w:r>
    </w:p>
    <w:p>
      <w:pPr>
        <w:pStyle w:val="ListBullet"/>
        <w:spacing w:after="80" w:line="276" w:lineRule="auto"/>
      </w:pPr>
      <w:r>
        <w:t>Monitored training load with Catapult GPS data and adjusted session intensity during congested periods, keeping soft tissue injuries low over a full season.</w:t>
      </w:r>
    </w:p>
    <w:p>
      <w:pPr>
        <w:pStyle w:val="ListBullet"/>
        <w:spacing w:after="80" w:line="276" w:lineRule="auto"/>
      </w:pPr>
      <w:r>
        <w:t>Mentored two assistant coaches through their Football Australia C Licence, running a fortnightly session-planning workshop for junior coaches.</w:t>
      </w:r>
    </w:p>
    <w:p>
      <w:pPr>
        <w:pStyle w:val="ListBullet"/>
        <w:spacing w:after="80" w:line="276" w:lineRule="auto"/>
      </w:pPr>
      <w:r>
        <w:t>Communicated weekly with parents and the club committee on selection, playing time and behaviour matters, resolving concerns before they became formal complaints.</w:t>
      </w:r>
    </w:p>
    <w:p>
      <w:pPr>
        <w:pStyle w:val="ListBullet"/>
        <w:spacing w:after="240" w:line="276" w:lineRule="auto"/>
      </w:pPr>
      <w:r>
        <w:t>Ran school holiday clinics and MiniRoos sessions for more than 60 children, supervising volunteer coaches and maintaining safe ratios and first aid coverage.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Most football coaches enter through the Football Australia coaching licence pathway (C Licence, then B Licence as they progress), often alongside a Diploma of Sport (Coaching), a Certificate III or IV in Sport Coaching, or a Bachelor of Exercise and Sport Science for those working in high performance settings.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