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Fund Manager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Fund Manager with a strong grounding in financial analysis, portfolio construction and regulatory compliance across managed funds and institutional mandates. Comfortable making disciplined investment decisions under market volatility and translating strategy into plain language for clients and boards. Track record of balancing risk exposure against return objectives within fund mandates.</w:t>
      </w:r>
    </w:p>
    <w:p>
      <w:pPr>
        <w:spacing w:before="280" w:after="120"/>
        <w:jc w:val="left"/>
        <w:pBdr>
          <w:bottom w:val="single" w:sz="6" w:space="4" w:color="DFDED8"/>
        </w:pBdr>
      </w:pPr>
      <w:r>
        <w:rPr>
          <w:b/>
          <w:color w:val="2F62D9"/>
          <w:sz w:val="22"/>
        </w:rPr>
        <w:t>KEY SKILLS</w:t>
      </w:r>
    </w:p>
    <w:p>
      <w:pPr>
        <w:spacing w:before="0" w:after="200"/>
        <w:jc w:val="left"/>
      </w:pPr>
      <w:r>
        <w:t>Financial analysis and modelling   •   Portfolio construction and rebalancing   •   Risk and internal controls   •   Economic and market data analysis   •   Regulatory compliance (ASIC, APRA)   •   Client relationships and advisory   •   Bloomberg Terminal   •   FactSet   •   Excel/VBA   •   Morningstar</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Fund Manager</w:t>
      </w:r>
      <w:r>
        <w:t>, [Company Name], [City]</w:t>
      </w:r>
      <w:r>
        <w:rPr>
          <w:i/>
        </w:rPr>
        <w:tab/>
        <w:t>[Month Year] – [Month Year / Present]</w:t>
      </w:r>
    </w:p>
    <w:p>
      <w:pPr>
        <w:pStyle w:val="ListBullet"/>
        <w:spacing w:after="80" w:line="276" w:lineRule="auto"/>
      </w:pPr>
      <w:r>
        <w:t>Analysed financial reports and macroeconomic data to identify investment opportunities, contributing to portfolio decisions that outperformed the benchmark over the reporting period</w:t>
      </w:r>
    </w:p>
    <w:p>
      <w:pPr>
        <w:pStyle w:val="ListBullet"/>
        <w:spacing w:after="80" w:line="276" w:lineRule="auto"/>
      </w:pPr>
      <w:r>
        <w:t>Constructed and rebalanced diversified portfolios across equities, fixed income and alternative assets to keep exposure within mandate limits</w:t>
      </w:r>
    </w:p>
    <w:p>
      <w:pPr>
        <w:pStyle w:val="ListBullet"/>
        <w:spacing w:after="80" w:line="276" w:lineRule="auto"/>
      </w:pPr>
      <w:r>
        <w:t>Monitored daily fund performance against benchmarks using Bloomberg Terminal and FactSet, flagging deviations for review by the investment committee</w:t>
      </w:r>
    </w:p>
    <w:p>
      <w:pPr>
        <w:pStyle w:val="ListBullet"/>
        <w:spacing w:after="80" w:line="276" w:lineRule="auto"/>
      </w:pPr>
      <w:r>
        <w:t>Presented investment strategy and performance results to clients and the board, translating market movements into clear, actionable commentary</w:t>
      </w:r>
    </w:p>
    <w:p>
      <w:pPr>
        <w:pStyle w:val="ListBullet"/>
        <w:spacing w:after="240" w:line="276" w:lineRule="auto"/>
      </w:pPr>
      <w:r>
        <w:t>Managed risk exposure and maintained compliance with fund mandates and ASIC regulatory requirements, supporting a clean audit outcome</w:t>
      </w:r>
    </w:p>
    <w:p>
      <w:pPr>
        <w:spacing w:before="280" w:after="120"/>
        <w:jc w:val="left"/>
        <w:pBdr>
          <w:bottom w:val="single" w:sz="6" w:space="4" w:color="DFDED8"/>
        </w:pBdr>
      </w:pPr>
      <w:r>
        <w:rPr>
          <w:b/>
          <w:color w:val="2F62D9"/>
          <w:sz w:val="22"/>
        </w:rPr>
        <w:t>EDUCATION</w:t>
      </w:r>
    </w:p>
    <w:p>
      <w:pPr>
        <w:spacing w:before="0" w:after="200"/>
        <w:jc w:val="left"/>
      </w:pPr>
      <w:r>
        <w:t>Bachelor degree in finance, economics or commerce is the most common entry point, often followed by a CFA Charter or postgraduate qualification in applied finance; RG146 compliance training and Responsible Manager status are typically required for advice-related functions.</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