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General Practitioner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Vocationally registered GP with FRACGP fellowship and current AHPRA registration, experienced in first-contact care across acute presentations, chronic disease and preventive health. Comfortable managing complex, multi-morbid patients and coordinating care with specialists and allied health. Brings strong clinical reasoning and a calm, patient-centred approach to a busy community practice.</w:t>
      </w:r>
    </w:p>
    <w:p>
      <w:pPr>
        <w:spacing w:before="280" w:after="120"/>
        <w:jc w:val="left"/>
        <w:pBdr>
          <w:bottom w:val="single" w:sz="6" w:space="4" w:color="DFDED8"/>
        </w:pBdr>
      </w:pPr>
      <w:r>
        <w:rPr>
          <w:b/>
          <w:color w:val="2F62D9"/>
          <w:sz w:val="22"/>
        </w:rPr>
        <w:t>KEY SKILLS</w:t>
      </w:r>
    </w:p>
    <w:p>
      <w:pPr>
        <w:spacing w:before="0" w:after="200"/>
        <w:jc w:val="left"/>
      </w:pPr>
      <w:r>
        <w:t>Clinical assessment and diagnosis   •   Medication management and prescribing   •   Chronic disease management   •   Preventive health assessments and screening   •   Care planning and coordination   •   Health education and patient advice   •   Electronic Health Records (Best Practice, Medical Director)   •   Clinical diagnostic equipment   •   Prescription writing systems (eRx)   •   Regulatory compliance (AHPRA, RACGP standards)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General Practitioner</w:t>
      </w:r>
      <w:r>
        <w:t>, [Company Name], [City]</w:t>
      </w:r>
      <w:r>
        <w:rPr>
          <w:i/>
        </w:rPr>
        <w:tab/>
        <w:t>[Month Year] – [Month Year / Present]</w:t>
      </w:r>
    </w:p>
    <w:p>
      <w:pPr>
        <w:pStyle w:val="ListBullet"/>
        <w:spacing w:after="80" w:line="276" w:lineRule="auto"/>
      </w:pPr>
      <w:r>
        <w:t>Conducted patient consultations across the lifespan, taking detailed histories and applying clinical reasoning to diagnose acute and chronic conditions accurately</w:t>
      </w:r>
    </w:p>
    <w:p>
      <w:pPr>
        <w:pStyle w:val="ListBullet"/>
        <w:spacing w:after="80" w:line="276" w:lineRule="auto"/>
      </w:pPr>
      <w:r>
        <w:t>Managed prescribing and medication reviews for patients with chronic disease, monitoring treatment outcomes and adjusting care plans to reduce avoidable complications</w:t>
      </w:r>
    </w:p>
    <w:p>
      <w:pPr>
        <w:pStyle w:val="ListBullet"/>
        <w:spacing w:after="80" w:line="276" w:lineRule="auto"/>
      </w:pPr>
      <w:r>
        <w:t>Performed preventive health checks, including cardiovascular risk screening, skin checks and immunisation, supporting earlier detection of at-risk patients</w:t>
      </w:r>
    </w:p>
    <w:p>
      <w:pPr>
        <w:pStyle w:val="ListBullet"/>
        <w:spacing w:after="80" w:line="276" w:lineRule="auto"/>
      </w:pPr>
      <w:r>
        <w:t>Coordinated multidisciplinary care by referring patients to specialists and allied health providers and maintaining continuity through shared care plans</w:t>
      </w:r>
    </w:p>
    <w:p>
      <w:pPr>
        <w:pStyle w:val="ListBullet"/>
        <w:spacing w:after="80" w:line="276" w:lineRule="auto"/>
      </w:pPr>
      <w:r>
        <w:t>Maintained accurate clinical documentation in electronic health records, supporting compliance with RACGP standards and Medicare billing requirements</w:t>
      </w:r>
    </w:p>
    <w:p>
      <w:pPr>
        <w:pStyle w:val="ListBullet"/>
        <w:spacing w:after="240" w:line="276" w:lineRule="auto"/>
      </w:pPr>
      <w:r>
        <w:t>Provided health education to patients and families, improving understanding of treatment plans and self-management of chronic conditions</w:t>
      </w:r>
    </w:p>
    <w:p>
      <w:pPr>
        <w:spacing w:before="280" w:after="120"/>
        <w:jc w:val="left"/>
        <w:pBdr>
          <w:bottom w:val="single" w:sz="6" w:space="4" w:color="DFDED8"/>
        </w:pBdr>
      </w:pPr>
      <w:r>
        <w:rPr>
          <w:b/>
          <w:color w:val="2F62D9"/>
          <w:sz w:val="22"/>
        </w:rPr>
        <w:t>EDUCATION</w:t>
      </w:r>
    </w:p>
    <w:p>
      <w:pPr>
        <w:spacing w:before="0" w:after="200"/>
        <w:jc w:val="left"/>
      </w:pPr>
      <w:r>
        <w:t>Bachelor of Medicine/Bachelor of Surgery (MBBS) or Doctor of Medicine (MD), followed by an internship year, the Australian General Practice Training (AGPT) program, and Fellowship of the Royal Australian College of General Practitioners (FRACGP) or ACRRM, with specialist AHPRA registration as a general practitioner.</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