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Genetic Counsellor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Genetic counsellor with HGSA-accredited training and experience supporting individuals and families through genetic testing and inherited risk. Skilled in taking detailed family histories, constructing pedigrees, and explaining complex results in plain language. Committed to patient-centred care and working within multidisciplinary clinical genetics teams.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Counselling and support work   •   Health education and advice   •   Casework and client support   •   Patient care and support   •   Progeny Pedigree Software   •   PhenoTips   •   ClinVar   •   Genoox   •   Electronic medical record systems   •   Empathy and interpersonal care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Genetic Counsellor</w:t>
      </w:r>
      <w:r>
        <w:t>, [Company Name], [City]</w:t>
      </w:r>
      <w:r>
        <w:rPr>
          <w:i/>
        </w:rPr>
        <w:tab/>
        <w:t>[Month Year] – [Month Year / Present]</w:t>
      </w:r>
    </w:p>
    <w:p>
      <w:pPr>
        <w:pStyle w:val="ListBullet"/>
        <w:spacing w:after="80" w:line="276" w:lineRule="auto"/>
      </w:pPr>
      <w:r>
        <w:t>Took detailed family histories and constructed three-generation pedigrees using Progeny Pedigree Software, enabling accurate risk assessment for families with suspected inherited conditions.</w:t>
      </w:r>
    </w:p>
    <w:p>
      <w:pPr>
        <w:pStyle w:val="ListBullet"/>
        <w:spacing w:after="80" w:line="276" w:lineRule="auto"/>
      </w:pPr>
      <w:r>
        <w:t>Interpreted genetic test results and explained their implications to patients and families in plain language, supporting informed decisions about testing, treatment and family planning.</w:t>
      </w:r>
    </w:p>
    <w:p>
      <w:pPr>
        <w:pStyle w:val="ListBullet"/>
        <w:spacing w:after="80" w:line="276" w:lineRule="auto"/>
      </w:pPr>
      <w:r>
        <w:t>Counselled individuals and families about inherited conditions and reproductive options, helping them work through difficult choices with empathy and clarity.</w:t>
      </w:r>
    </w:p>
    <w:p>
      <w:pPr>
        <w:pStyle w:val="ListBullet"/>
        <w:spacing w:after="80" w:line="276" w:lineRule="auto"/>
      </w:pPr>
      <w:r>
        <w:t>Coordinated genetic testing and referrals to specialist and support services, ensuring timely access to care and continuity between clinical teams.</w:t>
      </w:r>
    </w:p>
    <w:p>
      <w:pPr>
        <w:pStyle w:val="ListBullet"/>
        <w:spacing w:after="240" w:line="276" w:lineRule="auto"/>
      </w:pPr>
      <w:r>
        <w:t>Recorded consultations and maintained patient records and clinical registries, contributing to accurate clinical documentation and audit-ready data.</w:t>
      </w:r>
    </w:p>
    <w:p>
      <w:pPr>
        <w:spacing w:before="280" w:after="120"/>
        <w:jc w:val="left"/>
        <w:pBdr>
          <w:bottom w:val="single" w:sz="6" w:space="4" w:color="DFDED8"/>
        </w:pBdr>
      </w:pPr>
      <w:r>
        <w:rPr>
          <w:b/>
          <w:color w:val="2F62D9"/>
          <w:sz w:val="22"/>
        </w:rPr>
        <w:t>EDUCATION</w:t>
      </w:r>
    </w:p>
    <w:p>
      <w:pPr>
        <w:spacing w:before="0" w:after="200"/>
        <w:jc w:val="left"/>
      </w:pPr>
      <w:r>
        <w:t>Master of Genetic Counselling (HGSA-accredited) or Graduate Diploma of Genetic Counselling, following a bachelor degree in a health or science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