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Geriatrician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Geriatrician with advanced training in the assessment and management of older adults living with frailty, dementia and multiple chronic conditions. Skilled in leading multidisciplinary teams to deliver coordinated care that preserves independence and reduces hospital admissions. Committed to patient-centred practice and ongoing quality improvement in aged care settings.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and polypharmacy review   •   Care planning and coordination   •   Health education and advice   •   Cerner Millennium electronic medical record   •   InterRAI assessment instruments   •   MoCA cognitive screening   •   PACS medical imaging viewer   •   Best Practice or similar practice software   •   Empathy and interpersonal care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Geriatrician</w:t>
      </w:r>
      <w:r>
        <w:t>, [Company Name], [City]</w:t>
      </w:r>
      <w:r>
        <w:rPr>
          <w:i/>
        </w:rPr>
        <w:tab/>
        <w:t>[Month Year] – [Month Year / Present]</w:t>
      </w:r>
    </w:p>
    <w:p>
      <w:pPr>
        <w:pStyle w:val="ListBullet"/>
        <w:spacing w:after="80" w:line="276" w:lineRule="auto"/>
      </w:pPr>
      <w:r>
        <w:t>Led comprehensive geriatric assessments for a caseload of 60 older patients, improving identification of reversible causes of cognitive decline.</w:t>
      </w:r>
    </w:p>
    <w:p>
      <w:pPr>
        <w:pStyle w:val="ListBullet"/>
        <w:spacing w:after="80" w:line="276" w:lineRule="auto"/>
      </w:pPr>
      <w:r>
        <w:t>Reviewed medications for patients with polypharmacy, reducing the number of high-risk prescriptions and preventing adverse drug events.</w:t>
      </w:r>
    </w:p>
    <w:p>
      <w:pPr>
        <w:pStyle w:val="ListBullet"/>
        <w:spacing w:after="80" w:line="276" w:lineRule="auto"/>
      </w:pPr>
      <w:r>
        <w:t>Coordinated multidisciplinary care plans with nursing and allied health staff, cutting average length of stay for frail patients from 12 days to 9.</w:t>
      </w:r>
    </w:p>
    <w:p>
      <w:pPr>
        <w:pStyle w:val="ListBullet"/>
        <w:spacing w:after="240" w:line="276" w:lineRule="auto"/>
      </w:pPr>
      <w:r>
        <w:t>Advised medical teams on falls prevention and discharge planning, lowering readmission rates for older patients through targeted rehabilitation.</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advanced training in geriatric medicine with the Royal Australasian College of Physicians (RACP), leading to vocational registration with the Australian Health Practitioner Regulation Agency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