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Graphic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Graphic Designer with experience translating creative briefs into brand identities and marketing collateral across print and digital channels. Skilled in typography, colour systems and layout, balancing creative vision with client requirements, budgets and deadlines. Comfortable presenting concepts to stakeholders and iterating designs based on feedback.</w:t>
      </w:r>
    </w:p>
    <w:p>
      <w:pPr>
        <w:spacing w:before="280" w:after="120"/>
        <w:jc w:val="left"/>
        <w:pBdr>
          <w:bottom w:val="single" w:sz="6" w:space="4" w:color="DFDED8"/>
        </w:pBdr>
      </w:pPr>
      <w:r>
        <w:rPr>
          <w:b/>
          <w:color w:val="2F62D9"/>
          <w:sz w:val="22"/>
        </w:rPr>
        <w:t>KEY SKILLS</w:t>
      </w:r>
    </w:p>
    <w:p>
      <w:pPr>
        <w:spacing w:before="0" w:after="200"/>
        <w:jc w:val="left"/>
      </w:pPr>
      <w:r>
        <w:t>Visual design   •   Creative software production   •   Brand identity development   •   Typography and layout   •   Adobe Photoshop   •   Adobe Illustrator   •   Adobe InDesign   •   Figma   •   CorelDRAW   •   Stakeholder management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Graphic Designer</w:t>
      </w:r>
      <w:r>
        <w:t>, [Company Name], [City]</w:t>
      </w:r>
      <w:r>
        <w:rPr>
          <w:i/>
        </w:rPr>
        <w:tab/>
        <w:t>[Month Year] – [Month Year / Present]</w:t>
      </w:r>
    </w:p>
    <w:p>
      <w:pPr>
        <w:pStyle w:val="ListBullet"/>
        <w:spacing w:after="80" w:line="276" w:lineRule="auto"/>
      </w:pPr>
      <w:r>
        <w:t>Developed brand identities, including logos, colour palettes and typography systems, delivering visual guidelines used consistently across a client's marketing collateral.</w:t>
      </w:r>
    </w:p>
    <w:p>
      <w:pPr>
        <w:pStyle w:val="ListBullet"/>
        <w:spacing w:after="80" w:line="276" w:lineRule="auto"/>
      </w:pPr>
      <w:r>
        <w:t>Produced high-resolution print and digital assets from design briefs, meeting print specifications and file requirements first time to avoid reprint costs.</w:t>
      </w:r>
    </w:p>
    <w:p>
      <w:pPr>
        <w:pStyle w:val="ListBullet"/>
        <w:spacing w:after="80" w:line="276" w:lineRule="auto"/>
      </w:pPr>
      <w:r>
        <w:t>Collaborated with marketing and creative teams to refine concepts through multiple feedback rounds, cutting average revision cycles from four rounds to two.</w:t>
      </w:r>
    </w:p>
    <w:p>
      <w:pPr>
        <w:pStyle w:val="ListBullet"/>
        <w:spacing w:after="80" w:line="276" w:lineRule="auto"/>
      </w:pPr>
      <w:r>
        <w:t>Presented design options to clients and internal stakeholders, securing sign-off on campaign artwork within tight turnaround windows.</w:t>
      </w:r>
    </w:p>
    <w:p>
      <w:pPr>
        <w:pStyle w:val="ListBullet"/>
        <w:spacing w:after="240" w:line="276" w:lineRule="auto"/>
      </w:pPr>
      <w:r>
        <w:t>Built and maintained a library of reusable brand templates, reducing turnaround time on repeat design requests.</w:t>
      </w:r>
    </w:p>
    <w:p>
      <w:pPr>
        <w:spacing w:before="280" w:after="120"/>
        <w:jc w:val="left"/>
        <w:pBdr>
          <w:bottom w:val="single" w:sz="6" w:space="4" w:color="DFDED8"/>
        </w:pBdr>
      </w:pPr>
      <w:r>
        <w:rPr>
          <w:b/>
          <w:color w:val="2F62D9"/>
          <w:sz w:val="22"/>
        </w:rPr>
        <w:t>EDUCATION</w:t>
      </w:r>
    </w:p>
    <w:p>
      <w:pPr>
        <w:spacing w:before="0" w:after="200"/>
        <w:jc w:val="left"/>
      </w:pPr>
      <w:r>
        <w:t>A Bachelor degree in graphic design, visual communication or a related design field is the most common pathway, held by around half of designers, while a Diploma or Advanced Diploma of Graphic Design through TAFE or a registered training provider is a well-recognised alternative entry route.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