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Haematologist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Fellowship-trained haematologist with experience in diagnosing and treating blood cancers and benign haematological conditions. Skilled in performing bone marrow biopsies, prescribing chemotherapy and immunotherapy, and coordinating multidisciplinary care. Committed to patient-centred practice and evidence-based medicine.</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Medication management   •   Care planning and coordination   •   Health education and advice   •   Electronic medical records (Cerner, Epic)   •   Laboratory information systems   •   Bone marrow biopsy equipment   •   Chemotherapy prescribing systems   •   Microscope imaging software   •   Written communication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Haematologist</w:t>
      </w:r>
      <w:r>
        <w:t>, [Company Name], [City]</w:t>
      </w:r>
      <w:r>
        <w:rPr>
          <w:i/>
        </w:rPr>
        <w:tab/>
        <w:t>[Month Year] – [Month Year / Present]</w:t>
      </w:r>
    </w:p>
    <w:p>
      <w:pPr>
        <w:pStyle w:val="ListBullet"/>
        <w:spacing w:after="80" w:line="276" w:lineRule="auto"/>
      </w:pPr>
      <w:r>
        <w:t>Managed a caseload of 30 inpatients with haematological malignancies, overseeing chemotherapy and supportive care.</w:t>
      </w:r>
    </w:p>
    <w:p>
      <w:pPr>
        <w:pStyle w:val="ListBullet"/>
        <w:spacing w:after="80" w:line="276" w:lineRule="auto"/>
      </w:pPr>
      <w:r>
        <w:t>Performed over 200 bone marrow aspirates and biopsies with a low complication rate, ensuring adequate samples for diagnosis.</w:t>
      </w:r>
    </w:p>
    <w:p>
      <w:pPr>
        <w:pStyle w:val="ListBullet"/>
        <w:spacing w:after="80" w:line="276" w:lineRule="auto"/>
      </w:pPr>
      <w:r>
        <w:t>Coordinated multidisciplinary care with pathology, oncology and nursing teams, leading to timely treatment initiation for complex cases.</w:t>
      </w:r>
    </w:p>
    <w:p>
      <w:pPr>
        <w:pStyle w:val="ListBullet"/>
        <w:spacing w:after="80" w:line="276" w:lineRule="auto"/>
      </w:pPr>
      <w:r>
        <w:t>Interpreted full blood counts, coagulation studies and genetic tests to guide diagnosis and treatment decisions.</w:t>
      </w:r>
    </w:p>
    <w:p>
      <w:pPr>
        <w:pStyle w:val="ListBullet"/>
        <w:spacing w:after="80" w:line="276" w:lineRule="auto"/>
      </w:pPr>
      <w:r>
        <w:t>Reduced the turnaround time for urgent haematology reviews from five days to three by streamlining referral processes.</w:t>
      </w:r>
    </w:p>
    <w:p>
      <w:pPr>
        <w:pStyle w:val="ListBullet"/>
        <w:spacing w:after="240" w:line="276" w:lineRule="auto"/>
      </w:pPr>
      <w:r>
        <w:t>Provided education and support to patients and families on diagnosis, treatment options and side effect management, improving adherence to oral chemotherapy regimens.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specialist training with the Royal Australasian College of Physicians (RACP) or the Royal College of Pathologists of Australasia (RCPA), leading to Fellowship (FRACP or FRCPA). Many haematologists also hold a postgraduate qualification such as a Master of Medicine.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