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Head of Faculty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faculty leader in Australian secondary and senior secondary education, with a record of lifting teaching quality and student outcomes across a subject area. Combines curriculum and assessment expertise with the people leadership and budgeting discipline a Head of Faculty role demands. Registered teacher who works closely with senior leadership, parents and external stakeholders.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  •   Teaching and instruction   •   Student assessment and reporting   •   Assessment moderation and data analysis   •   Budgeting and forecasting   •   People leadership and staff mentoring   •   Staff performance review and development   •   Stakeholder management   •   Written communication and faculty reporting   •   Compass   •   Sentral   •   Canvas   •   Microsoft Excel   •   Google Workspace for Education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Head of Faculty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 whole faculty curriculum review across Years 7 to 12, resequencing units of work and assessment so that teaching programs aligned with the state syllabus and reporting deadlines were met consistently.</w:t>
      </w:r>
    </w:p>
    <w:p>
      <w:pPr>
        <w:pStyle w:val="ListBullet"/>
        <w:spacing w:after="80" w:line="276" w:lineRule="auto"/>
      </w:pPr>
      <w:r>
        <w:t>Mentored four early career teachers through the provisional to proficient transition, supporting each to build evidence against the Australian Professional Standards for Teachers.</w:t>
      </w:r>
    </w:p>
    <w:p>
      <w:pPr>
        <w:pStyle w:val="ListBullet"/>
        <w:spacing w:after="80" w:line="276" w:lineRule="auto"/>
      </w:pPr>
      <w:r>
        <w:t>Introduced a shared assessment calendar in Canvas and Compass, which cut the turnaround time for marking and moderation from three weeks to under ten days.</w:t>
      </w:r>
    </w:p>
    <w:p>
      <w:pPr>
        <w:pStyle w:val="ListBullet"/>
        <w:spacing w:after="80" w:line="276" w:lineRule="auto"/>
      </w:pPr>
      <w:r>
        <w:t>Chaired assessment moderation meetings across the faculty, tightening the consistency of judgments between classes and reducing the number of results queried at reporting time.</w:t>
      </w:r>
    </w:p>
    <w:p>
      <w:pPr>
        <w:pStyle w:val="ListBullet"/>
        <w:spacing w:after="80" w:line="276" w:lineRule="auto"/>
      </w:pPr>
      <w:r>
        <w:t>Managed the faculty budget across several cost centres, tracking resources and staffing against forecast each term and reallocating underspent funds to classroom resources.</w:t>
      </w:r>
    </w:p>
    <w:p>
      <w:pPr>
        <w:pStyle w:val="ListBullet"/>
        <w:spacing w:after="80" w:line="276" w:lineRule="auto"/>
      </w:pPr>
      <w:r>
        <w:t>Handled parent and student concerns at faculty level, resolving the large majority without escalation to the deputy principal.</w:t>
      </w:r>
    </w:p>
    <w:p>
      <w:pPr>
        <w:pStyle w:val="ListBullet"/>
        <w:spacing w:after="240" w:line="276" w:lineRule="auto"/>
      </w:pPr>
      <w:r>
        <w:t>Coordinated timetabling and relief cover for a faculty of more than twenty staff, keeping classes covered through a difficult staffing period.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Education or a Bachelor degree plus a postgraduate teaching qualification, with many Heads of Faculty holding a Master of Education or Master of Educational Leadership; current registration with the relevant state or territory teacher authority (for example NESA, VIT or QCT)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