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Horse Trainer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Racehorse trainer with a hands-on background in stable management, trackwork supervision and race planning for thoroughbreds. Holds a Certificate IV in Racing and a current state trainer's licence, with experience preparing horses from spell through to race day. Known for clear communication with owners, strong welfare standards and a calm approach to the daily pressures of a racing stable.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Operations management   •   Training program design and race scheduling   •   Trackwork supervision and fitness monitoring   •   Stable Assist (Racing Australia)   •   Ardex Equine   •   Xero   •   Microsoft Excel   •   Physical stamina and dexterity   •   Attention to detail   •   People leadership   •   Safety and compliance awareness   •   Problem solving   •   Owner liaison and race nominations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Horse Trainer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adjusted training programs for a stable of up to 18 racehorses, balancing fast work, recovery and spell periods to keep horses sound through a full preparation.</w:t>
      </w:r>
    </w:p>
    <w:p>
      <w:pPr>
        <w:pStyle w:val="ListBullet"/>
        <w:spacing w:after="80" w:line="276" w:lineRule="auto"/>
      </w:pPr>
      <w:r>
        <w:t>Supervised trackwork riders and stablehands across morning and afternoon shifts, setting clear daily routines and stepping in to correct handling or gear issues before they affected a horse's preparation.</w:t>
      </w:r>
    </w:p>
    <w:p>
      <w:pPr>
        <w:pStyle w:val="ListBullet"/>
        <w:spacing w:after="80" w:line="276" w:lineRule="auto"/>
      </w:pPr>
      <w:r>
        <w:t>Monitored each horse's condition, feed and behaviour daily, working with visiting veterinarians and farriers to pick up soreness or illness early and adjust workloads.</w:t>
      </w:r>
    </w:p>
    <w:p>
      <w:pPr>
        <w:pStyle w:val="ListBullet"/>
        <w:spacing w:after="80" w:line="276" w:lineRule="auto"/>
      </w:pPr>
      <w:r>
        <w:t>Prepared race nominations and owner updates using Stable Assist and Ardex Equine, keeping records accurate for stewards, swabbing and ownership changes.</w:t>
      </w:r>
    </w:p>
    <w:p>
      <w:pPr>
        <w:pStyle w:val="ListBullet"/>
        <w:spacing w:after="80" w:line="276" w:lineRule="auto"/>
      </w:pPr>
      <w:r>
        <w:t>Maintained stable compliance with the Australian Rules of Racing, biosecurity and work health and safety requirements, including staff inductions and treatment records.</w:t>
      </w:r>
    </w:p>
    <w:p>
      <w:pPr>
        <w:pStyle w:val="ListBullet"/>
        <w:spacing w:after="240" w:line="276" w:lineRule="auto"/>
      </w:pPr>
      <w:r>
        <w:t>Advised owners on race placement, horse purchases and sales, giving clear reasons for each recommendation and managing expectations when a horse needed time off.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Racing (or an equivalent equine qualification), with many trainers also completing a Diploma of Equine Management or a degree in equine science; a current state or territory trainer's licence is required to train racehorses in Australia.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