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Instructional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Instructional designer with a background in adult learning and course development across corporate, government and vocational settings. Builds self-paced modules and blended programs in Articulate Storyline and Captivate, working from subject matter expert interviews and learner data rather than assumptions about what people need. Comfortable owning a course end to end, from needs analysis and storyboard sign-off through to LMS launch and revision.</w:t>
      </w:r>
    </w:p>
    <w:p>
      <w:pPr>
        <w:spacing w:before="280" w:after="120"/>
        <w:jc w:val="left"/>
        <w:pBdr>
          <w:bottom w:val="single" w:sz="6" w:space="4" w:color="DFDED8"/>
        </w:pBdr>
      </w:pPr>
      <w:r>
        <w:rPr>
          <w:b/>
          <w:color w:val="2F62D9"/>
          <w:sz w:val="22"/>
        </w:rPr>
        <w:t>KEY SKILLS</w:t>
      </w:r>
    </w:p>
    <w:p>
      <w:pPr>
        <w:spacing w:before="0" w:after="200"/>
        <w:jc w:val="left"/>
      </w:pPr>
      <w:r>
        <w:t>Curriculum and lesson design   •   Adult learning principles and needs analysis   •   Business requirements analysis   •   Stakeholder management   •   Project management   •   Articulate Storyline 360   •   Adobe Captivate   •   Moodle and Canvas LMS   •   SCORM and xAPI publishing   •   Figma and Adobe XD for storyboards and wireframes   •   Microsoft 365   •   Written communication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Instructional Designer</w:t>
      </w:r>
      <w:r>
        <w:t>, [Company Name], [City]</w:t>
      </w:r>
      <w:r>
        <w:rPr>
          <w:i/>
        </w:rPr>
        <w:tab/>
        <w:t>[Month Year] – [Month Year / Present]</w:t>
      </w:r>
    </w:p>
    <w:p>
      <w:pPr>
        <w:pStyle w:val="ListBullet"/>
        <w:spacing w:after="80" w:line="276" w:lineRule="auto"/>
      </w:pPr>
      <w:r>
        <w:t>Interviewed subject matter experts and frontline staff to map what new starters genuinely had to do in their first month, then rebuilt the onboarding program around those tasks rather than the existing policy documents.</w:t>
      </w:r>
    </w:p>
    <w:p>
      <w:pPr>
        <w:pStyle w:val="ListBullet"/>
        <w:spacing w:after="80" w:line="276" w:lineRule="auto"/>
      </w:pPr>
      <w:r>
        <w:t>Designed and built interactive modules in Articulate Storyline 360, using branching scenarios so learners practised real decisions instead of clicking through slides.</w:t>
      </w:r>
    </w:p>
    <w:p>
      <w:pPr>
        <w:pStyle w:val="ListBullet"/>
        <w:spacing w:after="80" w:line="276" w:lineRule="auto"/>
      </w:pPr>
      <w:r>
        <w:t>Loaded and tested SCORM packages in the LMS before each launch, working with the LMS administrator to resolve tracking and completion issues so reporting worked from day one.</w:t>
      </w:r>
    </w:p>
    <w:p>
      <w:pPr>
        <w:pStyle w:val="ListBullet"/>
        <w:spacing w:after="80" w:line="276" w:lineRule="auto"/>
      </w:pPr>
      <w:r>
        <w:t>Reviewed completion and assessment data after each rollout and revised the weakest sections, which lifted first-attempt assessment pass rates on the next intake.</w:t>
      </w:r>
    </w:p>
    <w:p>
      <w:pPr>
        <w:pStyle w:val="ListBullet"/>
        <w:spacing w:after="80" w:line="276" w:lineRule="auto"/>
      </w:pPr>
      <w:r>
        <w:t>Managed the design schedule across several courses at once, keeping subject matter experts and reviewers to agreed milestone dates and flagging slippage early.</w:t>
      </w:r>
    </w:p>
    <w:p>
      <w:pPr>
        <w:pStyle w:val="ListBullet"/>
        <w:spacing w:after="240" w:line="276" w:lineRule="auto"/>
      </w:pPr>
      <w:r>
        <w:t>Built accessible learning materials to WCAG 2.1 AA, including captions, transcripts, alt text and keyboard-navigable interactions.</w:t>
      </w:r>
    </w:p>
    <w:p>
      <w:pPr>
        <w:spacing w:before="280" w:after="120"/>
        <w:jc w:val="left"/>
        <w:pBdr>
          <w:bottom w:val="single" w:sz="6" w:space="4" w:color="DFDED8"/>
        </w:pBdr>
      </w:pPr>
      <w:r>
        <w:rPr>
          <w:b/>
          <w:color w:val="2F62D9"/>
          <w:sz w:val="22"/>
        </w:rPr>
        <w:t>EDUCATION</w:t>
      </w:r>
    </w:p>
    <w:p>
      <w:pPr>
        <w:spacing w:before="0" w:after="200"/>
        <w:jc w:val="left"/>
      </w:pPr>
      <w:r>
        <w:t>A bachelor degree in education, instructional design, psychology or a related discipline is the most common entry point, though a Certificate IV in Training and Assessment (TAE40122) or a diploma in learning design combined with industry experience is equally accepted. A postgraduate qualification in learning design or education is also common among designers moving into senior or lead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