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Insurance Agent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an insurance agent with experience assessing client risk and recommending suitable cover across property, life and business lines. I focus on explaining policy terms clearly and maintaining a book of clients through renewals and regular reviews.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  •   Selling and negotiation   •   Financial analysis and modelling   •   CRM software (Salesforce, Dynamics 365)   •   Insurance underwriting platforms   •   Microsoft Office suite   •   Email and scheduling systems   •   Client relationships and advisory   •   Written communication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Insurance Agent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client circumstances and risks through structured needs analysis conversations, then recommended cover tailored to budget and exposure.</w:t>
      </w:r>
    </w:p>
    <w:p>
      <w:pPr>
        <w:pStyle w:val="ListBullet"/>
        <w:spacing w:after="80" w:line="276" w:lineRule="auto"/>
      </w:pPr>
      <w:r>
        <w:t>Explained policy features, exclusions and premiums in plain language, reducing client confusion and post-sale complaints.</w:t>
      </w:r>
    </w:p>
    <w:p>
      <w:pPr>
        <w:pStyle w:val="ListBullet"/>
        <w:spacing w:after="80" w:line="276" w:lineRule="auto"/>
      </w:pPr>
      <w:r>
        <w:t>Compared coverage options against client risk tolerance, helping clients make informed decisions without overselling.</w:t>
      </w:r>
    </w:p>
    <w:p>
      <w:pPr>
        <w:pStyle w:val="ListBullet"/>
        <w:spacing w:after="80" w:line="276" w:lineRule="auto"/>
      </w:pPr>
      <w:r>
        <w:t>Processed applications, quotes and policy amendments through underwriting platforms with high accuracy and compliance.</w:t>
      </w:r>
    </w:p>
    <w:p>
      <w:pPr>
        <w:pStyle w:val="ListBullet"/>
        <w:spacing w:after="240" w:line="276" w:lineRule="auto"/>
      </w:pPr>
      <w:r>
        <w:t>Followed up on renewals and lapsed policies, maintaining a consistent retention rate across the client base.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Year 12 or equivalent, often with a Certificate III or IV in Insurance, a Diploma of Insurance, or a bachelor degree in business, commerce or a related field. Many agents also complete the Tier 2 or Tier 1 compliance requirements under ASIC's RG 146.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