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Insurance 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Insurance Broker with a solid grounding in client risk assessment, policy comparison and insurer negotiation. Comfortable managing a book of clients across personal and commercial lines while keeping compliance with AFCA rules and industry codes front of mind. Known for clear client communication and finding cover that actually fits the risk, not just the budget.</w:t>
      </w:r>
    </w:p>
    <w:p>
      <w:pPr>
        <w:spacing w:before="280" w:after="120"/>
        <w:jc w:val="left"/>
        <w:pBdr>
          <w:bottom w:val="single" w:sz="6" w:space="4" w:color="DFDED8"/>
        </w:pBdr>
      </w:pPr>
      <w:r>
        <w:rPr>
          <w:b/>
          <w:color w:val="2F62D9"/>
          <w:sz w:val="22"/>
        </w:rPr>
        <w:t>KEY SKILLS</w:t>
      </w:r>
    </w:p>
    <w:p>
      <w:pPr>
        <w:spacing w:before="0" w:after="200"/>
        <w:jc w:val="left"/>
      </w:pPr>
      <w:r>
        <w:t>Regulatory compliance (AFCA, industry codes of conduct)   •   Financial analysis and modelling   •   Selling and negotiation   •   Insurance broking software (OPAL, INSIS)   •   CRM systems (Salesforce, HubSpot)   •   Policy comparison platforms   •   Client relationship management   •   Claims support and advocacy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Insurance Broker</w:t>
      </w:r>
      <w:r>
        <w:t>, [Company Name], [City]</w:t>
      </w:r>
      <w:r>
        <w:rPr>
          <w:i/>
        </w:rPr>
        <w:tab/>
        <w:t>[Month Year] – [Month Year / Present]</w:t>
      </w:r>
    </w:p>
    <w:p>
      <w:pPr>
        <w:pStyle w:val="ListBullet"/>
        <w:spacing w:after="80" w:line="276" w:lineRule="auto"/>
      </w:pPr>
      <w:r>
        <w:t>Assessed client risk profiles through detailed consultation, identifying gaps in existing cover and recommending appropriate policy adjustments</w:t>
      </w:r>
    </w:p>
    <w:p>
      <w:pPr>
        <w:pStyle w:val="ListBullet"/>
        <w:spacing w:after="80" w:line="276" w:lineRule="auto"/>
      </w:pPr>
      <w:r>
        <w:t>Compared quotes and policy features across multiple insurers to secure cover that matched each client's risk exposure and budget</w:t>
      </w:r>
    </w:p>
    <w:p>
      <w:pPr>
        <w:pStyle w:val="ListBullet"/>
        <w:spacing w:after="80" w:line="276" w:lineRule="auto"/>
      </w:pPr>
      <w:r>
        <w:t>Negotiated premiums and terms directly with insurers on behalf of clients, securing improved conditions on renewal in a majority of cases</w:t>
      </w:r>
    </w:p>
    <w:p>
      <w:pPr>
        <w:pStyle w:val="ListBullet"/>
        <w:spacing w:after="80" w:line="276" w:lineRule="auto"/>
      </w:pPr>
      <w:r>
        <w:t>Maintained compliance with AFCA rules and insurance industry codes of conduct across all client files and correspondence</w:t>
      </w:r>
    </w:p>
    <w:p>
      <w:pPr>
        <w:pStyle w:val="ListBullet"/>
        <w:spacing w:after="80" w:line="276" w:lineRule="auto"/>
      </w:pPr>
      <w:r>
        <w:t>Supported clients through the claims process from lodgement to settlement, reducing delays caused by incomplete documentation</w:t>
      </w:r>
    </w:p>
    <w:p>
      <w:pPr>
        <w:pStyle w:val="ListBullet"/>
        <w:spacing w:after="240" w:line="276" w:lineRule="auto"/>
      </w:pPr>
      <w:r>
        <w:t>Managed a portfolio of policy renewals, tracking expiry dates and reassessing cover ahead of each renewal cycle</w:t>
      </w:r>
    </w:p>
    <w:p>
      <w:pPr>
        <w:spacing w:before="280" w:after="120"/>
        <w:jc w:val="left"/>
        <w:pBdr>
          <w:bottom w:val="single" w:sz="6" w:space="4" w:color="DFDED8"/>
        </w:pBdr>
      </w:pPr>
      <w:r>
        <w:rPr>
          <w:b/>
          <w:color w:val="2F62D9"/>
          <w:sz w:val="22"/>
        </w:rPr>
        <w:t>EDUCATION</w:t>
      </w:r>
    </w:p>
    <w:p>
      <w:pPr>
        <w:spacing w:before="0" w:after="200"/>
        <w:jc w:val="left"/>
      </w:pPr>
      <w:r>
        <w:t>Typical pathway is a Diploma of Insurance Broking or equivalent Tier 1 general insurance qualification (often through ANZIIF), sometimes paired with a Bachelor degree in commerce, business or finance; AFCA membership and an Australian Financial Services Licence (or authorisation under one) are required to practise.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