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Investment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Investment analyst with a strong background in financial modelling and equity research, focused on delivering actionable insights for portfolio managers and investment committees. Skilled in analysing financial statements, building valuation models, and communicating investment theses clearly. Committed to continuous learning and staying across market developments to support sound investment decisions.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Financial reporting   •   Data analysis   •   Investment and financial advice   •   Risk and internal controls   •   Economic modelling   •   Bloomberg Terminal   •   FactSet   •   Excel and VBA   •   Python   •   Refinitiv Eikon   •   Presenting and data storytelling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Investment Analyst</w:t>
      </w:r>
      <w:r>
        <w:t>, [Company Name], [City]</w:t>
      </w:r>
      <w:r>
        <w:rPr>
          <w:i/>
        </w:rPr>
        <w:tab/>
        <w:t>[Month Year] – [Month Year / Present]</w:t>
      </w:r>
    </w:p>
    <w:p>
      <w:pPr>
        <w:pStyle w:val="ListBullet"/>
        <w:spacing w:after="80" w:line="276" w:lineRule="auto"/>
      </w:pPr>
      <w:r>
        <w:t>Built and maintained financial models in Excel and Python to forecast earnings and cash flow for ASX-listed companies, supporting buy and sell recommendations.</w:t>
      </w:r>
    </w:p>
    <w:p>
      <w:pPr>
        <w:pStyle w:val="ListBullet"/>
        <w:spacing w:after="80" w:line="276" w:lineRule="auto"/>
      </w:pPr>
      <w:r>
        <w:t>Conducted in-depth analysis of financial statements and economic data to assess company valuation and sector trends, identifying key drivers of performance.</w:t>
      </w:r>
    </w:p>
    <w:p>
      <w:pPr>
        <w:pStyle w:val="ListBullet"/>
        <w:spacing w:after="80" w:line="276" w:lineRule="auto"/>
      </w:pPr>
      <w:r>
        <w:t>Wrote research reports and investment theses for fund managers, presenting findings at investment committee meetings.</w:t>
      </w:r>
    </w:p>
    <w:p>
      <w:pPr>
        <w:pStyle w:val="ListBullet"/>
        <w:spacing w:after="80" w:line="276" w:lineRule="auto"/>
      </w:pPr>
      <w:r>
        <w:t>Monitored portfolio holdings and market conditions during earnings season, flagging rebalancing opportunities that contributed to improved portfolio performance.</w:t>
      </w:r>
    </w:p>
    <w:p>
      <w:pPr>
        <w:pStyle w:val="ListBullet"/>
        <w:spacing w:after="240" w:line="276" w:lineRule="auto"/>
      </w:pPr>
      <w:r>
        <w:t>Presented investment ideas to senior analysts and defended them under questioning, refining recommendations based on feedback.</w:t>
      </w:r>
    </w:p>
    <w:p>
      <w:pPr>
        <w:spacing w:before="280" w:after="120"/>
        <w:jc w:val="left"/>
        <w:pBdr>
          <w:bottom w:val="single" w:sz="6" w:space="4" w:color="DFDED8"/>
        </w:pBdr>
      </w:pPr>
      <w:r>
        <w:rPr>
          <w:b/>
          <w:color w:val="2F62D9"/>
          <w:sz w:val="22"/>
        </w:rPr>
        <w:t>EDUCATION</w:t>
      </w:r>
    </w:p>
    <w:p>
      <w:pPr>
        <w:spacing w:before="0" w:after="200"/>
        <w:jc w:val="left"/>
      </w:pPr>
      <w:r>
        <w:t>Bachelor of Commerce (Finance) or Bachelor of Finance, often complemented by a Master of Finance or the CFA program.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