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IT Auditor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IT auditor with a background in assurance, risk and technology controls, focused on helping organisations protect data and meet Australian and international compliance obligations. Experienced in testing access, change management and data integrity controls across finance, payroll and HR systems, and in translating technical findings for audit committees and control owners.</w:t>
      </w:r>
    </w:p>
    <w:p>
      <w:pPr>
        <w:spacing w:before="280" w:after="120"/>
        <w:jc w:val="left"/>
        <w:pBdr>
          <w:bottom w:val="single" w:sz="6" w:space="4" w:color="DFDED8"/>
        </w:pBdr>
      </w:pPr>
      <w:r>
        <w:rPr>
          <w:b/>
          <w:color w:val="2F62D9"/>
          <w:sz w:val="22"/>
        </w:rPr>
        <w:t>KEY SKILLS</w:t>
      </w:r>
    </w:p>
    <w:p>
      <w:pPr>
        <w:spacing w:before="0" w:after="200"/>
        <w:jc w:val="left"/>
      </w:pPr>
      <w:r>
        <w:t>Auditing and assurance   •   Risk and internal controls   •   Regulatory compliance   •   Cyber security   •   Data analysis   •   Control testing and walkthroughs   •   Computer-assisted audit techniques (CAATs)   •   ACL Analytics   •   CaseWare IDEA   •   Microsoft Excel   •   Splunk   •   Tableau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IT Auditor</w:t>
      </w:r>
      <w:r>
        <w:t>, [Company Name], [City]</w:t>
      </w:r>
      <w:r>
        <w:rPr>
          <w:i/>
        </w:rPr>
        <w:tab/>
        <w:t>[Month Year] – [Month Year / Present]</w:t>
      </w:r>
    </w:p>
    <w:p>
      <w:pPr>
        <w:pStyle w:val="ListBullet"/>
        <w:spacing w:after="80" w:line="276" w:lineRule="auto"/>
      </w:pPr>
      <w:r>
        <w:t>Planned and delivered IT general controls reviews across finance, payroll and HR systems, testing access, change management and backup controls and documenting findings for management action.</w:t>
      </w:r>
    </w:p>
    <w:p>
      <w:pPr>
        <w:pStyle w:val="ListBullet"/>
        <w:spacing w:after="80" w:line="276" w:lineRule="auto"/>
      </w:pPr>
      <w:r>
        <w:t>Used ACL Analytics and CaseWare IDEA to test full populations of journal entries and user access logs, replacing sample-based checks and improving coverage across the audit period.</w:t>
      </w:r>
    </w:p>
    <w:p>
      <w:pPr>
        <w:pStyle w:val="ListBullet"/>
        <w:spacing w:after="80" w:line="276" w:lineRule="auto"/>
      </w:pPr>
      <w:r>
        <w:t>Assessed compliance with ISO/IEC 27001 and the Essential Eight, mapping gaps to remediation owners and tracking closure through to evidence review.</w:t>
      </w:r>
    </w:p>
    <w:p>
      <w:pPr>
        <w:pStyle w:val="ListBullet"/>
        <w:spacing w:after="80" w:line="276" w:lineRule="auto"/>
      </w:pPr>
      <w:r>
        <w:t>Partnered with financial auditors to evaluate IT risks affecting the general ledger and reporting systems, translating technical exceptions into audit impact.</w:t>
      </w:r>
    </w:p>
    <w:p>
      <w:pPr>
        <w:pStyle w:val="ListBullet"/>
        <w:spacing w:after="80" w:line="276" w:lineRule="auto"/>
      </w:pPr>
      <w:r>
        <w:t>Prepared clear workpapers and reports for audit committees and management, supporting recommendations that strengthened access approval and periodic review processes.</w:t>
      </w:r>
    </w:p>
    <w:p>
      <w:pPr>
        <w:pStyle w:val="ListBullet"/>
        <w:spacing w:after="240" w:line="276" w:lineRule="auto"/>
      </w:pPr>
      <w:r>
        <w:t>Reduced the access recertification cycle from quarterly to monthly by automating user listings in Excel and ACL, giving control owners more frequent evidence.</w:t>
      </w:r>
    </w:p>
    <w:p>
      <w:pPr>
        <w:spacing w:before="280" w:after="120"/>
        <w:jc w:val="left"/>
        <w:pBdr>
          <w:bottom w:val="single" w:sz="6" w:space="4" w:color="DFDED8"/>
        </w:pBdr>
      </w:pPr>
      <w:r>
        <w:rPr>
          <w:b/>
          <w:color w:val="2F62D9"/>
          <w:sz w:val="22"/>
        </w:rPr>
        <w:t>EDUCATION</w:t>
      </w:r>
    </w:p>
    <w:p>
      <w:pPr>
        <w:spacing w:before="0" w:after="200"/>
        <w:jc w:val="left"/>
      </w:pPr>
      <w:r>
        <w:t>A bachelor degree in information systems, accounting or computer science is the typical entry point, often followed by the Certified Information Systems Auditor (CISA) credential and, for some roles, a postgraduate qualification in audit or risk.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