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Land Economist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Land economist with a background in property market analysis, valuation and development feasibility across residential, commercial and industrial assets. Works comfortably between detailed financial models and the planning, rating and land use questions that surround them. Known for turning market evidence into advice that investors, lenders and councils can act on.</w:t>
      </w:r>
    </w:p>
    <w:p>
      <w:pPr>
        <w:spacing w:before="280" w:after="120"/>
        <w:jc w:val="left"/>
        <w:pBdr>
          <w:bottom w:val="single" w:sz="6" w:space="4" w:color="DFDED8"/>
        </w:pBdr>
      </w:pPr>
      <w:r>
        <w:rPr>
          <w:b/>
          <w:color w:val="2F62D9"/>
          <w:sz w:val="22"/>
        </w:rPr>
        <w:t>KEY SKILLS</w:t>
      </w:r>
    </w:p>
    <w:p>
      <w:pPr>
        <w:spacing w:before="0" w:after="200"/>
        <w:jc w:val="left"/>
      </w:pPr>
      <w:r>
        <w:t>Economic modelling   •   Financial analysis and modelling   •   Development feasibility and appraisals   •   Property market research   •   Statistical modelling   •   Data analysis   •   Investment and financial advice   •   Property transactions and management   •   Stakeholder management   •   Client relationships and advisory   •   Microsoft Excel   •   Argus EstateMaster   •   Power BI   •   QGIS   •   CoreLogic RP Data   •   PEXA</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Land Economist</w:t>
      </w:r>
      <w:r>
        <w:t>, [Company Name], [City]</w:t>
      </w:r>
      <w:r>
        <w:rPr>
          <w:i/>
        </w:rPr>
        <w:tab/>
        <w:t>[Month Year] – [Month Year / Present]</w:t>
      </w:r>
    </w:p>
    <w:p>
      <w:pPr>
        <w:pStyle w:val="ListBullet"/>
        <w:spacing w:after="80" w:line="276" w:lineRule="auto"/>
      </w:pPr>
      <w:r>
        <w:t>Built development feasibility models in EstateMaster for infill residential and mixed use sites, testing staging, financing and presale scenarios before sites went to investment committee.</w:t>
      </w:r>
    </w:p>
    <w:p>
      <w:pPr>
        <w:pStyle w:val="ListBullet"/>
        <w:spacing w:after="80" w:line="276" w:lineRule="auto"/>
      </w:pPr>
      <w:r>
        <w:t>Prepared market research and highest and best use studies that supported acquisition decisions across suburban retail and industrial precincts.</w:t>
      </w:r>
    </w:p>
    <w:p>
      <w:pPr>
        <w:pStyle w:val="ListBullet"/>
        <w:spacing w:after="80" w:line="276" w:lineRule="auto"/>
      </w:pPr>
      <w:r>
        <w:t>Reviewed council rating and land use policies and briefed clients on the likely effect on holding costs and achievable development yield.</w:t>
      </w:r>
    </w:p>
    <w:p>
      <w:pPr>
        <w:pStyle w:val="ListBullet"/>
        <w:spacing w:after="80" w:line="276" w:lineRule="auto"/>
      </w:pPr>
      <w:r>
        <w:t>Cut the turnaround on a standard feasibility report from about two weeks to four days by rebuilding the Excel model and linking it directly to CoreLogic RP Data extracts.</w:t>
      </w:r>
    </w:p>
    <w:p>
      <w:pPr>
        <w:pStyle w:val="ListBullet"/>
        <w:spacing w:after="80" w:line="276" w:lineRule="auto"/>
      </w:pPr>
      <w:r>
        <w:t>Presented valuation and viability findings to lender credit teams, planning panels and community consultation sessions, adjusting the level of detail to each audience.</w:t>
      </w:r>
    </w:p>
    <w:p>
      <w:pPr>
        <w:pStyle w:val="ListBullet"/>
        <w:spacing w:after="240" w:line="276" w:lineRule="auto"/>
      </w:pPr>
      <w:r>
        <w:t>Maintained a Power BI dashboard tracking rents, vacancy and sales evidence across several submarkets, used by the advisory team for client updates and internal briefings.</w:t>
      </w:r>
    </w:p>
    <w:p>
      <w:pPr>
        <w:spacing w:before="280" w:after="120"/>
        <w:jc w:val="left"/>
        <w:pBdr>
          <w:bottom w:val="single" w:sz="6" w:space="4" w:color="DFDED8"/>
        </w:pBdr>
      </w:pPr>
      <w:r>
        <w:rPr>
          <w:b/>
          <w:color w:val="2F62D9"/>
          <w:sz w:val="22"/>
        </w:rPr>
        <w:t>EDUCATION</w:t>
      </w:r>
    </w:p>
    <w:p>
      <w:pPr>
        <w:spacing w:before="0" w:after="200"/>
        <w:jc w:val="left"/>
      </w:pPr>
      <w:r>
        <w:t>Bachelor degree in property economics, land economics or commerce, with many practitioners adding a postgraduate qualification in property or finance; membership of the Australian Property Institute and progress toward the Certified Practising Valuer pathway are the common professional credentials.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