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Landscape Architect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Landscape architect who combines site analysis, technical drawing and stakeholder management to deliver parks, streetscapes and residential landscapes that hold up through construction. Comfortable moving between concept sketches and construction documentation, and confident presenting design rationale to councils, engineers and clients.</w:t>
      </w:r>
    </w:p>
    <w:p>
      <w:pPr>
        <w:spacing w:before="280" w:after="120"/>
        <w:jc w:val="left"/>
        <w:pBdr>
          <w:bottom w:val="single" w:sz="6" w:space="4" w:color="DFDED8"/>
        </w:pBdr>
      </w:pPr>
      <w:r>
        <w:rPr>
          <w:b/>
          <w:color w:val="2F62D9"/>
          <w:sz w:val="22"/>
        </w:rPr>
        <w:t>KEY SKILLS</w:t>
      </w:r>
    </w:p>
    <w:p>
      <w:pPr>
        <w:spacing w:before="0" w:after="200"/>
        <w:jc w:val="left"/>
      </w:pPr>
      <w:r>
        <w:t>Site analysis and feasibility assessment   •   CAD and technical drawing   •   AutoCAD   •   SketchUp   •   Revit   •   GIS software   •   Environmental assessment   •   Spatial design   •   Stakeholder management   •   Adobe Creative Suite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Landscape Architect</w:t>
      </w:r>
      <w:r>
        <w:t>, [Company Name], [City]</w:t>
      </w:r>
      <w:r>
        <w:rPr>
          <w:i/>
        </w:rPr>
        <w:tab/>
        <w:t>[Month Year] – [Month Year / Present]</w:t>
      </w:r>
    </w:p>
    <w:p>
      <w:pPr>
        <w:pStyle w:val="ListBullet"/>
        <w:spacing w:after="80" w:line="276" w:lineRule="auto"/>
      </w:pPr>
      <w:r>
        <w:t>Conducted site analysis and feasibility studies for proposed landscape projects, flagging drainage, access and vegetation constraints before design commenced to avoid rework later</w:t>
      </w:r>
    </w:p>
    <w:p>
      <w:pPr>
        <w:pStyle w:val="ListBullet"/>
        <w:spacing w:after="80" w:line="276" w:lineRule="auto"/>
      </w:pPr>
      <w:r>
        <w:t>Produced detailed design concepts and 3D visualisations in AutoCAD, SketchUp and Revit, giving clients and council assessors a clear read on design intent ahead of development application submission</w:t>
      </w:r>
    </w:p>
    <w:p>
      <w:pPr>
        <w:pStyle w:val="ListBullet"/>
        <w:spacing w:after="80" w:line="276" w:lineRule="auto"/>
      </w:pPr>
      <w:r>
        <w:t>Collaborated with engineers, planners and clients through design development, resolving competing requirements between ecological outcomes, cost and maintenance access</w:t>
      </w:r>
    </w:p>
    <w:p>
      <w:pPr>
        <w:pStyle w:val="ListBullet"/>
        <w:spacing w:after="80" w:line="276" w:lineRule="auto"/>
      </w:pPr>
      <w:r>
        <w:t>Prepared specifications, cost estimates and tender documentation for construction packages, supporting a smoother handover from design to contractor pricing</w:t>
      </w:r>
    </w:p>
    <w:p>
      <w:pPr>
        <w:pStyle w:val="ListBullet"/>
        <w:spacing w:after="240" w:line="276" w:lineRule="auto"/>
      </w:pPr>
      <w:r>
        <w:t>Inspected completed works on site against design drawings and specifications, identifying non-compliant materials or setout before defects were locked in</w:t>
      </w:r>
    </w:p>
    <w:p>
      <w:pPr>
        <w:spacing w:before="280" w:after="120"/>
        <w:jc w:val="left"/>
        <w:pBdr>
          <w:bottom w:val="single" w:sz="6" w:space="4" w:color="DFDED8"/>
        </w:pBdr>
      </w:pPr>
      <w:r>
        <w:rPr>
          <w:b/>
          <w:color w:val="2F62D9"/>
          <w:sz w:val="22"/>
        </w:rPr>
        <w:t>EDUCATION</w:t>
      </w:r>
    </w:p>
    <w:p>
      <w:pPr>
        <w:spacing w:before="0" w:after="200"/>
        <w:jc w:val="left"/>
      </w:pPr>
      <w:r>
        <w:t>Bachelor or Master of Landscape Architecture accredited by the Australian Institute of Landscape Architects (AILA), typically followed by supervised practice toward Registered Landscape Architect status.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