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Learning and Development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Learning and development manager with a background in designing and delivering training that closes genuine capability gaps. Experienced in needs analysis, budget management, and evaluating program outcomes across professional services and government settings. Skilled at working with senior stakeholders to align learning strategy with business priorities.</w:t>
      </w:r>
    </w:p>
    <w:p>
      <w:pPr>
        <w:spacing w:before="280" w:after="120"/>
        <w:jc w:val="left"/>
        <w:pBdr>
          <w:bottom w:val="single" w:sz="6" w:space="4" w:color="DFDED8"/>
        </w:pBdr>
      </w:pPr>
      <w:r>
        <w:rPr>
          <w:b/>
          <w:color w:val="2F62D9"/>
          <w:sz w:val="22"/>
        </w:rPr>
        <w:t>KEY SKILLS</w:t>
      </w:r>
    </w:p>
    <w:p>
      <w:pPr>
        <w:spacing w:before="0" w:after="200"/>
        <w:jc w:val="left"/>
      </w:pPr>
      <w:r>
        <w:t>Learning needs analysis and skills gap identification   •   Training program design and content development   •   Budgeting and forecasting for learning initiatives   •   Project management for training rollouts   •   Learning Management Systems (LMS)   •   Articulate Storyline   •   Microsoft Teams for virtual delivery   •   Training evaluation and ROI measurement   •   Stakeholder management   •   Written communication   •   Vendor and provider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Learning and Development Manager</w:t>
      </w:r>
      <w:r>
        <w:t>, [Company Name], [City]</w:t>
      </w:r>
      <w:r>
        <w:rPr>
          <w:i/>
        </w:rPr>
        <w:tab/>
        <w:t>[Month Year] – [Month Year / Present]</w:t>
      </w:r>
    </w:p>
    <w:p>
      <w:pPr>
        <w:pStyle w:val="ListBullet"/>
        <w:spacing w:after="80" w:line="276" w:lineRule="auto"/>
      </w:pPr>
      <w:r>
        <w:t>Conducted a skills gap analysis across a 300-person division and designed a blended training program that reduced time to competency from eight weeks to five.</w:t>
      </w:r>
    </w:p>
    <w:p>
      <w:pPr>
        <w:pStyle w:val="ListBullet"/>
        <w:spacing w:after="80" w:line="276" w:lineRule="auto"/>
      </w:pPr>
      <w:r>
        <w:t>Managed an annual training budget across multiple external providers, renegotiating contracts to fund two additional leadership programs without increasing overall spend.</w:t>
      </w:r>
    </w:p>
    <w:p>
      <w:pPr>
        <w:pStyle w:val="ListBullet"/>
        <w:spacing w:after="80" w:line="276" w:lineRule="auto"/>
      </w:pPr>
      <w:r>
        <w:t>Evaluated program outcomes using feedback surveys, assessment results and performance data, identifying two modules that needed redesign to improve retention.</w:t>
      </w:r>
    </w:p>
    <w:p>
      <w:pPr>
        <w:pStyle w:val="ListBullet"/>
        <w:spacing w:after="80" w:line="276" w:lineRule="auto"/>
      </w:pPr>
      <w:r>
        <w:t>Built capability in internal coaches and mentors through a structured development program, increasing active participation across the business.</w:t>
      </w:r>
    </w:p>
    <w:p>
      <w:pPr>
        <w:pStyle w:val="ListBullet"/>
        <w:spacing w:after="80" w:line="276" w:lineRule="auto"/>
      </w:pPr>
      <w:r>
        <w:t>Coordinated compliance and technical training through a Learning Management System, achieving completion rates above target for a 500-person workforce.</w:t>
      </w:r>
    </w:p>
    <w:p>
      <w:pPr>
        <w:pStyle w:val="ListBullet"/>
        <w:spacing w:after="240" w:line="276" w:lineRule="auto"/>
      </w:pPr>
      <w:r>
        <w:t>Partnered with senior leaders to align learning strategy with workforce planning, shifting from ad hoc requests to a prioritised annual training plan.</w:t>
      </w:r>
    </w:p>
    <w:p>
      <w:pPr>
        <w:spacing w:before="280" w:after="120"/>
        <w:jc w:val="left"/>
        <w:pBdr>
          <w:bottom w:val="single" w:sz="6" w:space="4" w:color="DFDED8"/>
        </w:pBdr>
      </w:pPr>
      <w:r>
        <w:rPr>
          <w:b/>
          <w:color w:val="2F62D9"/>
          <w:sz w:val="22"/>
        </w:rPr>
        <w:t>EDUCATION</w:t>
      </w:r>
    </w:p>
    <w:p>
      <w:pPr>
        <w:spacing w:before="0" w:after="200"/>
        <w:jc w:val="left"/>
      </w:pPr>
      <w:r>
        <w:t>A bachelor degree in human resource management, education, psychology or a related discipline is the most common entry point. Many managers also hold a postgraduate qualification in organisational development, adult learning or a related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