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Legal Executive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legal executive with several years of experience managing client matters from instruction to resolution in Australian firms. I draft contracts, leases, wills and court documents, conduct legal research, and prepare briefs to counsel while keeping files compliant with costs disclosure and matter administration requirements. I work closely with solicitors and barristers to keep matters moving and clients informed.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and advice notes   •   Drafting contracts, leases, wills and court documents   •   Litigation and dispute support   •   Regulatory and administrative law   •   Regulatory compliance   •   Costs disclosure and client onboarding   •   Briefs to counsel and disclosure schedules   •   LEAP Legal Software   •   Smokeball   •   Clio   •   Microsoft 365   •   iManage   •   Client relationships and advisory   •   Attention to detail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Legal Executive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portfolio of 40 active files across leasing, wills and estate matters, maintaining costs disclosure and client reporting so no matter fell outside agreed timeframes.</w:t>
      </w:r>
    </w:p>
    <w:p>
      <w:pPr>
        <w:pStyle w:val="ListBullet"/>
        <w:spacing w:after="80" w:line="276" w:lineRule="auto"/>
      </w:pPr>
      <w:r>
        <w:t>Drafted and reviewed commercial leases and contracts, incorporating special conditions and resolving inconsistencies before execution.</w:t>
      </w:r>
    </w:p>
    <w:p>
      <w:pPr>
        <w:pStyle w:val="ListBullet"/>
        <w:spacing w:after="80" w:line="276" w:lineRule="auto"/>
      </w:pPr>
      <w:r>
        <w:t>Prepared briefs to counsel and disclosure schedules for contested matters in the Local Court and VCAT, reducing the time solicitors spent on document review.</w:t>
      </w:r>
    </w:p>
    <w:p>
      <w:pPr>
        <w:pStyle w:val="ListBullet"/>
        <w:spacing w:after="80" w:line="276" w:lineRule="auto"/>
      </w:pPr>
      <w:r>
        <w:t>Conducted legal research and drafted advice notes on regulatory and administrative law issues, which supported solicitors in providing timely client advice.</w:t>
      </w:r>
    </w:p>
    <w:p>
      <w:pPr>
        <w:pStyle w:val="ListBullet"/>
        <w:spacing w:after="80" w:line="276" w:lineRule="auto"/>
      </w:pPr>
      <w:r>
        <w:t>Liaised with courts, registries and opposing parties to track case progress, ensuring filing deadlines were met.</w:t>
      </w:r>
    </w:p>
    <w:p>
      <w:pPr>
        <w:pStyle w:val="ListBullet"/>
        <w:spacing w:after="80" w:line="276" w:lineRule="auto"/>
      </w:pPr>
      <w:r>
        <w:t>Onboarded new clients, explaining costs disclosure and engagement terms, and set up matters in LEAP and iManage with accurate metadata.</w:t>
      </w:r>
    </w:p>
    <w:p>
      <w:pPr>
        <w:pStyle w:val="ListBullet"/>
        <w:spacing w:after="240" w:line="276" w:lineRule="auto"/>
      </w:pPr>
      <w:r>
        <w:t>Trained two junior legal assistants on document management and drafting templates, improving consistency across the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Legal Services or a law degree, combined with several years of supervised practice experience in a legal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