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Liaison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Liaison Officer with a background in community engagement and stakeholder communication across government, health and community services. Experienced in explaining policy in plain language, coordinating consultations and connecting clients to the right supports. Known for keeping sensitive conversations calm and for case notes colleagues can actually pick up and use.</w:t>
      </w:r>
    </w:p>
    <w:p>
      <w:pPr>
        <w:spacing w:before="280" w:after="120"/>
        <w:jc w:val="left"/>
        <w:pBdr>
          <w:bottom w:val="single" w:sz="6" w:space="4" w:color="DFDED8"/>
        </w:pBdr>
      </w:pPr>
      <w:r>
        <w:rPr>
          <w:b/>
          <w:color w:val="2F62D9"/>
          <w:sz w:val="22"/>
        </w:rPr>
        <w:t>KEY SKILLS</w:t>
      </w:r>
    </w:p>
    <w:p>
      <w:pPr>
        <w:spacing w:before="0" w:after="200"/>
        <w:jc w:val="left"/>
      </w:pPr>
      <w:r>
        <w:t>Community engagement   •   Policy analysis and advice   •   Stakeholder management   •   Written communication   •   Client relationships and advisory   •   Empathy and interpersonal care   •   Problem solving   •   Microsoft Office   •   SharePoint   •   Customer relationship management systems   •   Objective ECM   •   Microsoft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Liaison Officer</w:t>
      </w:r>
      <w:r>
        <w:t>, [Company Name], [City]</w:t>
      </w:r>
      <w:r>
        <w:rPr>
          <w:i/>
        </w:rPr>
        <w:tab/>
        <w:t>[Month Year] – [Month Year / Present]</w:t>
      </w:r>
    </w:p>
    <w:p>
      <w:pPr>
        <w:pStyle w:val="ListBullet"/>
        <w:spacing w:after="80" w:line="276" w:lineRule="auto"/>
      </w:pPr>
      <w:r>
        <w:t>Acted as first point of contact between a regional program and its community groups, fielding enquiries, explaining eligibility rules and resolving most questions at first contact.</w:t>
      </w:r>
    </w:p>
    <w:p>
      <w:pPr>
        <w:pStyle w:val="ListBullet"/>
        <w:spacing w:after="80" w:line="276" w:lineRule="auto"/>
      </w:pPr>
      <w:r>
        <w:t>Coordinated consultation sessions and information sessions across several sites, booking venues, preparing plain language materials and circulating outcomes to stakeholders afterwards.</w:t>
      </w:r>
    </w:p>
    <w:p>
      <w:pPr>
        <w:pStyle w:val="ListBullet"/>
        <w:spacing w:after="80" w:line="276" w:lineRule="auto"/>
      </w:pPr>
      <w:r>
        <w:t>Rewrote program eligibility information into plain language, which cut the volume of follow up calls from people who had misunderstood the rules.</w:t>
      </w:r>
    </w:p>
    <w:p>
      <w:pPr>
        <w:pStyle w:val="ListBullet"/>
        <w:spacing w:after="80" w:line="276" w:lineRule="auto"/>
      </w:pPr>
      <w:r>
        <w:t>Referred clients to appropriate services and followed up on outcomes, recording case notes in Objective ECM so colleagues could continue a case without making the client repeat their story.</w:t>
      </w:r>
    </w:p>
    <w:p>
      <w:pPr>
        <w:pStyle w:val="ListBullet"/>
        <w:spacing w:after="80" w:line="276" w:lineRule="auto"/>
      </w:pPr>
      <w:r>
        <w:t>Reported emerging community issues and trends to program managers each month, which changed how the next round of consultations was scheduled and staffed.</w:t>
      </w:r>
    </w:p>
    <w:p>
      <w:pPr>
        <w:pStyle w:val="ListBullet"/>
        <w:spacing w:after="240" w:line="276" w:lineRule="auto"/>
      </w:pPr>
      <w:r>
        <w:t>Worked with a community group that had lodged repeated complaints, meeting them in person, mapping their concerns against what the program could actually change and keeping a running issues log until the relationship settled.</w:t>
      </w:r>
    </w:p>
    <w:p>
      <w:pPr>
        <w:spacing w:before="280" w:after="120"/>
        <w:jc w:val="left"/>
        <w:pBdr>
          <w:bottom w:val="single" w:sz="6" w:space="4" w:color="DFDED8"/>
        </w:pBdr>
      </w:pPr>
      <w:r>
        <w:rPr>
          <w:b/>
          <w:color w:val="2F62D9"/>
          <w:sz w:val="22"/>
        </w:rPr>
        <w:t>EDUCATION</w:t>
      </w:r>
    </w:p>
    <w:p>
      <w:pPr>
        <w:spacing w:before="0" w:after="200"/>
        <w:jc w:val="left"/>
      </w:pPr>
      <w:r>
        <w:t>Bachelor degree in community development, social work, public policy or a related discipline, or a Diploma or Advanced Diploma in community services with relevant experience; a Certificate IV in community services is also a common entry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