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Loan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Loan Officer with a solid grounding in financial analysis and credit risk assessment, experienced in guiding clients through the lending process while meeting obligations under Australian consumer credit law. Comfortable balancing commercial lending targets against sound risk judgement, and confident explaining loan terms to clients with varying levels of financial literacy.</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Risk and internal controls   •   Regulatory compliance (NCCP Act, responsible lending obligations)   •   Financial reporting   •   Loan management software (Encompass, Finastra)   •   Credit analysis platforms   •   Microsoft Excel   •   Banking core systems   •   Client relationships and advisory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Loan Officer</w:t>
      </w:r>
      <w:r>
        <w:t>, [Company Name], [City]</w:t>
      </w:r>
      <w:r>
        <w:rPr>
          <w:i/>
        </w:rPr>
        <w:tab/>
        <w:t>[Month Year] – [Month Year / Present]</w:t>
      </w:r>
    </w:p>
    <w:p>
      <w:pPr>
        <w:pStyle w:val="ListBullet"/>
        <w:spacing w:after="80" w:line="276" w:lineRule="auto"/>
      </w:pPr>
      <w:r>
        <w:t>Reviewed financial statements and credit histories for a portfolio of retail and small business applicants, keeping turnaround on standard applications within branch targets</w:t>
      </w:r>
    </w:p>
    <w:p>
      <w:pPr>
        <w:pStyle w:val="ListBullet"/>
        <w:spacing w:after="80" w:line="276" w:lineRule="auto"/>
      </w:pPr>
      <w:r>
        <w:t>Prepared loan proposals and risk assessments for approval committees, balancing lending policy against commercial outcomes</w:t>
      </w:r>
    </w:p>
    <w:p>
      <w:pPr>
        <w:pStyle w:val="ListBullet"/>
        <w:spacing w:after="80" w:line="276" w:lineRule="auto"/>
      </w:pPr>
      <w:r>
        <w:t>Met with clients to explain loan products, interest rate structures and repayment terms, reducing the number of applications returned for missing documentation</w:t>
      </w:r>
    </w:p>
    <w:p>
      <w:pPr>
        <w:pStyle w:val="ListBullet"/>
        <w:spacing w:after="80" w:line="276" w:lineRule="auto"/>
      </w:pPr>
      <w:r>
        <w:t>Verified applicant income, identity and asset information through due diligence checks, flagging discrepancies before files reached underwriting</w:t>
      </w:r>
    </w:p>
    <w:p>
      <w:pPr>
        <w:pStyle w:val="ListBullet"/>
        <w:spacing w:after="240" w:line="276" w:lineRule="auto"/>
      </w:pPr>
      <w:r>
        <w:t>Monitored loan performance across an assigned book and followed up early on missed repayments, helping keep arrears within agreed thresholds</w:t>
      </w:r>
    </w:p>
    <w:p>
      <w:pPr>
        <w:spacing w:before="280" w:after="120"/>
        <w:jc w:val="left"/>
        <w:pBdr>
          <w:bottom w:val="single" w:sz="6" w:space="4" w:color="DFDED8"/>
        </w:pBdr>
      </w:pPr>
      <w:r>
        <w:rPr>
          <w:b/>
          <w:color w:val="2F62D9"/>
          <w:sz w:val="22"/>
        </w:rPr>
        <w:t>EDUCATION</w:t>
      </w:r>
    </w:p>
    <w:p>
      <w:pPr>
        <w:spacing w:before="0" w:after="200"/>
        <w:jc w:val="left"/>
      </w:pPr>
      <w:r>
        <w:t>Typically a bachelor degree in finance, business or commerce, though entry is also common via a Certificate IV in Finance and Mortgage Broking or an internal bank traineeship, with many loan officers progressing from teller or customer service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