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Lobbyist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Policy and government relations professional with experience advising clients on political strategy, monitoring legislation and building relationships across the political spectrum. Skilled at translating complex policy into clear briefings and securing meetings with decision makers. Known for ethical, transparent engagement aligned with the Australian Lobbying Code of Conduct.</w:t>
      </w:r>
    </w:p>
    <w:p>
      <w:pPr>
        <w:spacing w:before="280" w:after="120"/>
        <w:jc w:val="left"/>
        <w:pBdr>
          <w:bottom w:val="single" w:sz="6" w:space="4" w:color="DFDED8"/>
        </w:pBdr>
      </w:pPr>
      <w:r>
        <w:rPr>
          <w:b/>
          <w:color w:val="2F62D9"/>
          <w:sz w:val="22"/>
        </w:rPr>
        <w:t>KEY SKILLS</w:t>
      </w:r>
    </w:p>
    <w:p>
      <w:pPr>
        <w:spacing w:before="0" w:after="200"/>
        <w:jc w:val="left"/>
      </w:pPr>
      <w:r>
        <w:t>Policy analysis and advice   •   Strategy development   •   Regulatory and administrative law   •   Stakeholder management   •   Written communication   •   Client relationships and advisory   •   Presenting and data storytelling   •   Microsoft Office   •   Salesforce   •   Hansard   •   Media monitoring software   •   Parliamentary committee databases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Lobbyist</w:t>
      </w:r>
      <w:r>
        <w:t>, [Company Name], [City]</w:t>
      </w:r>
      <w:r>
        <w:rPr>
          <w:i/>
        </w:rPr>
        <w:tab/>
        <w:t>[Month Year] – [Month Year / Present]</w:t>
      </w:r>
    </w:p>
    <w:p>
      <w:pPr>
        <w:pStyle w:val="ListBullet"/>
        <w:spacing w:after="80" w:line="276" w:lineRule="auto"/>
      </w:pPr>
      <w:r>
        <w:t>Monitored over 40 pieces of legislation across a parliamentary sitting period, flagging three amendments that directly affected client operations and enabling timely submissions.</w:t>
      </w:r>
    </w:p>
    <w:p>
      <w:pPr>
        <w:pStyle w:val="ListBullet"/>
        <w:spacing w:after="80" w:line="276" w:lineRule="auto"/>
      </w:pPr>
      <w:r>
        <w:t>Arranged and prepared briefings for more than 60 meetings with MPs and public servants, resulting in two client-favourable policy changes.</w:t>
      </w:r>
    </w:p>
    <w:p>
      <w:pPr>
        <w:pStyle w:val="ListBullet"/>
        <w:spacing w:after="80" w:line="276" w:lineRule="auto"/>
      </w:pPr>
      <w:r>
        <w:t>Drafted position papers and submissions to five parliamentary committee inquiries, two of which were referenced in final committee reports.</w:t>
      </w:r>
    </w:p>
    <w:p>
      <w:pPr>
        <w:pStyle w:val="ListBullet"/>
        <w:spacing w:after="80" w:line="276" w:lineRule="auto"/>
      </w:pPr>
      <w:r>
        <w:t>Built a cross-party contact network of 25 parliamentarians and their advisers, ensuring access during a contested regulatory review.</w:t>
      </w:r>
    </w:p>
    <w:p>
      <w:pPr>
        <w:pStyle w:val="ListBullet"/>
        <w:spacing w:after="240" w:line="276" w:lineRule="auto"/>
      </w:pPr>
      <w:r>
        <w:t>Advised a peak industry body on timing of a campaign that reduced the risk of unfavourable amendments by securing a delay for further consultation.</w:t>
      </w:r>
    </w:p>
    <w:p>
      <w:pPr>
        <w:spacing w:before="280" w:after="120"/>
        <w:jc w:val="left"/>
        <w:pBdr>
          <w:bottom w:val="single" w:sz="6" w:space="4" w:color="DFDED8"/>
        </w:pBdr>
      </w:pPr>
      <w:r>
        <w:rPr>
          <w:b/>
          <w:color w:val="2F62D9"/>
          <w:sz w:val="22"/>
        </w:rPr>
        <w:t>EDUCATION</w:t>
      </w:r>
    </w:p>
    <w:p>
      <w:pPr>
        <w:spacing w:before="0" w:after="200"/>
        <w:jc w:val="left"/>
      </w:pPr>
      <w:r>
        <w:t>Bachelor degree in political science, public policy, law or communications; many lobbyists also complete a postgraduate qualification such as a Master of Public Policy or a Graduate Diploma in Government Relations.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