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Local Councillor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Community leader and advocate with a strong record of engaging residents and driving local outcomes. Experienced in policy review, budget oversight, and representing community interests across diverse forums. Seeking election as a Local Councillor to ensure local services and infrastructure reflect the needs of all residents.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Community engagement   •   Policy analysis and advice   •   Regulatory compliance   •   Stakeholder management   •   People leadership   •   Written communication   •   Problem solving   •   Microsoft Office   •   InfoCouncil   •   Objective   •   Zoom   •   Microsoft Teams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Local Councillor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Attended and contributed to monthly council and committee meetings, ensuring decisions reflected community feedback.</w:t>
      </w:r>
    </w:p>
    <w:p>
      <w:pPr>
        <w:pStyle w:val="ListBullet"/>
        <w:spacing w:after="80" w:line="276" w:lineRule="auto"/>
      </w:pPr>
      <w:r>
        <w:t>Reviewed budget proposals and policy documents, providing evidence-based recommendations that balanced community needs with fiscal responsibility.</w:t>
      </w:r>
    </w:p>
    <w:p>
      <w:pPr>
        <w:pStyle w:val="ListBullet"/>
        <w:spacing w:after="80" w:line="276" w:lineRule="auto"/>
      </w:pPr>
      <w:r>
        <w:t>Consulted with resident groups and local businesses to shape a neighbourhood plan, increasing participation from underrepresented demographics.</w:t>
      </w:r>
    </w:p>
    <w:p>
      <w:pPr>
        <w:pStyle w:val="ListBullet"/>
        <w:spacing w:after="80" w:line="276" w:lineRule="auto"/>
      </w:pPr>
      <w:r>
        <w:t>Represented the council at 15+ public events annually, strengthening community relationships and gathering feedback for policy review.</w:t>
      </w:r>
    </w:p>
    <w:p>
      <w:pPr>
        <w:pStyle w:val="ListBullet"/>
        <w:spacing w:after="80" w:line="276" w:lineRule="auto"/>
      </w:pPr>
      <w:r>
        <w:t>Managed a caseload of 150+ constituent enquiries annually, resolving issues related to roads, waste, and planning in a timely manner.</w:t>
      </w:r>
    </w:p>
    <w:p>
      <w:pPr>
        <w:pStyle w:val="ListBullet"/>
        <w:spacing w:after="240" w:line="276" w:lineRule="auto"/>
      </w:pPr>
      <w:r>
        <w:t>Led a community consultation on local park upgrades, resulting in a redesign that improved accessibility and increased usage.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stand for election; councillors typically hold a bachelor degree or postgraduate qualification in public policy, law, commerce or community development, or bring a diploma or extensive community leadership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