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Magistrate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Judicial officer with extensive experience in criminal and civil law, ready to preside over lower court matters with fairness and procedural rigour. Known for clear oral judgments, efficient list management and a calm courtroom manner. Committed to applying the law consistently and maintaining public confidence in the courts.</w:t>
      </w:r>
    </w:p>
    <w:p>
      <w:pPr>
        <w:spacing w:before="280" w:after="120"/>
        <w:jc w:val="left"/>
        <w:pBdr>
          <w:bottom w:val="single" w:sz="6" w:space="4" w:color="DFDED8"/>
        </w:pBdr>
      </w:pPr>
      <w:r>
        <w:rPr>
          <w:b/>
          <w:color w:val="2F62D9"/>
          <w:sz w:val="22"/>
        </w:rPr>
        <w:t>KEY SKILLS</w:t>
      </w:r>
    </w:p>
    <w:p>
      <w:pPr>
        <w:spacing w:before="0" w:after="200"/>
        <w:jc w:val="left"/>
      </w:pPr>
      <w:r>
        <w:t>Legal research   •   Litigation and dispute support   •   Regulatory and administrative law   •   Regulatory compliance   •   Policy analysis and advice   •   Integrated Court Management System (ICMS)   •   Judicial Information Research System (JIRS)   •   Westlaw Australia   •   LexisNexis   •   Benchbook   •   Attention to detail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Magistrate</w:t>
      </w:r>
      <w:r>
        <w:t>, [Company Name], [City]</w:t>
      </w:r>
      <w:r>
        <w:rPr>
          <w:i/>
        </w:rPr>
        <w:tab/>
        <w:t>[Month Year] – [Month Year / Present]</w:t>
      </w:r>
    </w:p>
    <w:p>
      <w:pPr>
        <w:pStyle w:val="ListBullet"/>
        <w:spacing w:after="80" w:line="276" w:lineRule="auto"/>
      </w:pPr>
      <w:r>
        <w:t>Presided over daily criminal and civil lists in a busy lower court, hearing bail applications, pleas and summary hearings and delivering oral reasons on the spot.</w:t>
      </w:r>
    </w:p>
    <w:p>
      <w:pPr>
        <w:pStyle w:val="ListBullet"/>
        <w:spacing w:after="80" w:line="276" w:lineRule="auto"/>
      </w:pPr>
      <w:r>
        <w:t>Ruled on evidence and points of law during contested hearings, ensuring rulings were grounded in the Evidence Act and relevant case law.</w:t>
      </w:r>
    </w:p>
    <w:p>
      <w:pPr>
        <w:pStyle w:val="ListBullet"/>
        <w:spacing w:after="80" w:line="276" w:lineRule="auto"/>
      </w:pPr>
      <w:r>
        <w:t>Managed a list of 60 to 80 matters per sitting day, triaging urgency and reducing unnecessary adjournments by requiring parties to be ready to proceed.</w:t>
      </w:r>
    </w:p>
    <w:p>
      <w:pPr>
        <w:pStyle w:val="ListBullet"/>
        <w:spacing w:after="80" w:line="276" w:lineRule="auto"/>
      </w:pPr>
      <w:r>
        <w:t>Delivered written judgments with clear reasons in complex matters, often within tight timeframes.</w:t>
      </w:r>
    </w:p>
    <w:p>
      <w:pPr>
        <w:pStyle w:val="ListBullet"/>
        <w:spacing w:after="240" w:line="276" w:lineRule="auto"/>
      </w:pPr>
      <w:r>
        <w:t>Worked with court staff to improve case flow, introducing a pre-court mention protocol that cut waiting times for unrepresented parties.</w:t>
      </w:r>
    </w:p>
    <w:p>
      <w:pPr>
        <w:spacing w:before="280" w:after="120"/>
        <w:jc w:val="left"/>
        <w:pBdr>
          <w:bottom w:val="single" w:sz="6" w:space="4" w:color="DFDED8"/>
        </w:pBdr>
      </w:pPr>
      <w:r>
        <w:rPr>
          <w:b/>
          <w:color w:val="2F62D9"/>
          <w:sz w:val="22"/>
        </w:rPr>
        <w:t>EDUCATION</w:t>
      </w:r>
    </w:p>
    <w:p>
      <w:pPr>
        <w:spacing w:before="0" w:after="200"/>
        <w:jc w:val="left"/>
      </w:pPr>
      <w:r>
        <w:t>Bachelor of Laws (LLB) or Juris Doctor (JD), admission as a legal practitioner in an Australian state or territory, and significant experience in legal practice or a judicial office.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