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Media Buyer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Media buyer with a track record of planning and negotiating advertising placements across TV, digital, radio, print and outdoor channels. Comfortable reading audience data to pick the right channel mix and holding vendors to account on rate and delivery. Works well under budget pressure and reports clearly on what the spend actually achieved.</w:t>
      </w:r>
    </w:p>
    <w:p>
      <w:pPr>
        <w:spacing w:before="280" w:after="120"/>
        <w:jc w:val="left"/>
        <w:pBdr>
          <w:bottom w:val="single" w:sz="6" w:space="4" w:color="DFDED8"/>
        </w:pBdr>
      </w:pPr>
      <w:r>
        <w:rPr>
          <w:b/>
          <w:color w:val="2F62D9"/>
          <w:sz w:val="22"/>
        </w:rPr>
        <w:t>KEY SKILLS</w:t>
      </w:r>
    </w:p>
    <w:p>
      <w:pPr>
        <w:spacing w:before="0" w:after="200"/>
        <w:jc w:val="left"/>
      </w:pPr>
      <w:r>
        <w:t>Media planning and budget allocation   •   Vendor negotiation and rate management   •   Marketing analytics and audience data analysis   •   Campaign performance tracking and optimisation   •   Programmatic buying (DV360, The Trade Desk)   •   Reporting and presentation of media spend outcomes   •   Stakeholder and account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Media Buyer</w:t>
      </w:r>
      <w:r>
        <w:t>, [Company Name], [City]</w:t>
      </w:r>
      <w:r>
        <w:rPr>
          <w:i/>
        </w:rPr>
        <w:tab/>
        <w:t>[Month Year] – [Month Year / Present]</w:t>
      </w:r>
    </w:p>
    <w:p>
      <w:pPr>
        <w:pStyle w:val="ListBullet"/>
        <w:spacing w:after="80" w:line="276" w:lineRule="auto"/>
      </w:pPr>
      <w:r>
        <w:t>Planned and allocated media budgets across TV, digital, radio, print and outdoor to match audience reach targets within approved spend</w:t>
      </w:r>
    </w:p>
    <w:p>
      <w:pPr>
        <w:pStyle w:val="ListBullet"/>
        <w:spacing w:after="80" w:line="276" w:lineRule="auto"/>
      </w:pPr>
      <w:r>
        <w:t>Negotiated rates and terms with media vendors, networks and publishers, reducing average unit cost across a quarterly buying cycle</w:t>
      </w:r>
    </w:p>
    <w:p>
      <w:pPr>
        <w:pStyle w:val="ListBullet"/>
        <w:spacing w:after="80" w:line="276" w:lineRule="auto"/>
      </w:pPr>
      <w:r>
        <w:t>Monitored campaign performance daily in Google Analytics and DV360, reallocating spend toward placements delivering the strongest cost per impression</w:t>
      </w:r>
    </w:p>
    <w:p>
      <w:pPr>
        <w:pStyle w:val="ListBullet"/>
        <w:spacing w:after="80" w:line="276" w:lineRule="auto"/>
      </w:pPr>
      <w:r>
        <w:t>Built and presented media spend and outcomes reports for internal stakeholders, translating impressions and reach data into plain-English campaign summaries</w:t>
      </w:r>
    </w:p>
    <w:p>
      <w:pPr>
        <w:pStyle w:val="ListBullet"/>
        <w:spacing w:after="240" w:line="276" w:lineRule="auto"/>
      </w:pPr>
      <w:r>
        <w:t>Managed vendor relationships across multiple media owners, resolving billing and delivery discrepancies to keep campaigns on schedule</w:t>
      </w:r>
    </w:p>
    <w:p>
      <w:pPr>
        <w:spacing w:before="280" w:after="120"/>
        <w:jc w:val="left"/>
        <w:pBdr>
          <w:bottom w:val="single" w:sz="6" w:space="4" w:color="DFDED8"/>
        </w:pBdr>
      </w:pPr>
      <w:r>
        <w:rPr>
          <w:b/>
          <w:color w:val="2F62D9"/>
          <w:sz w:val="22"/>
        </w:rPr>
        <w:t>EDUCATION</w:t>
      </w:r>
    </w:p>
    <w:p>
      <w:pPr>
        <w:spacing w:before="0" w:after="200"/>
        <w:jc w:val="left"/>
      </w:pPr>
      <w:r>
        <w:t>Typically a bachelor degree in marketing, communications or business, though diploma-qualified entrants with agency or media sales experience are common; postgraduate study in marketing analytics is an option for progression into senior buying or planning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