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Mediator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Accredited mediator working across family, workplace and commercial disputes, with a calm, structured approach to negotiation between parties who are often upset and positional. I keep the process fair and confidential, help people separate positions from interests, and document outcomes in plain English. Comfortable running sessions in person or by video, and equally comfortable in a two-party matter and a multi-party room.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National Mediator Accreditation System (NMAS) accreditation   •   Facilitative and interest-based negotiation   •   Intake, screening and conflict of interest checks   •   High-conflict and emotionally charged session management   •   Settlement agreement and terms of resolution drafting   •   Neutrality, impartiality and confidentiality practices   •   Regulatory compliance with mediation standards and privacy obligations   •   Stakeholder management across legal, HR and support services   •   Written communication   •   Problem solving   •   Client relationships and advisory   •   Attention to detail   •   Empathy and interpersonal care   •   Zoom   •   Microsoft Teams   •   DocuSign   •   Clio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Mediator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Facilitated structured negotiation sessions across a mixed caseload of family, workplace and commercial matters, guiding parties to written terms of settlement in most files without the matter proceeding further.</w:t>
      </w:r>
    </w:p>
    <w:p>
      <w:pPr>
        <w:pStyle w:val="ListBullet"/>
        <w:spacing w:after="80" w:line="276" w:lineRule="auto"/>
      </w:pPr>
      <w:r>
        <w:t>Reduced average time from intake to signed agreement from eight weeks to four by tightening pre-mediation preparation and holding separate preliminary sessions with each party.</w:t>
      </w:r>
    </w:p>
    <w:p>
      <w:pPr>
        <w:pStyle w:val="ListBullet"/>
        <w:spacing w:after="80" w:line="276" w:lineRule="auto"/>
      </w:pPr>
      <w:r>
        <w:t>Managed high-conflict sessions involving multiple parties and support persons, using ground rules and private sessions to keep discussion productive when voices were raised.</w:t>
      </w:r>
    </w:p>
    <w:p>
      <w:pPr>
        <w:pStyle w:val="ListBullet"/>
        <w:spacing w:after="80" w:line="276" w:lineRule="auto"/>
      </w:pPr>
      <w:r>
        <w:t>Drafted settlement agreements and terms of resolution in plain English, checking each draft against the interests the parties had actually raised before circulating for signature through DocuSign.</w:t>
      </w:r>
    </w:p>
    <w:p>
      <w:pPr>
        <w:pStyle w:val="ListBullet"/>
        <w:spacing w:after="240" w:line="276" w:lineRule="auto"/>
      </w:pPr>
      <w:r>
        <w:t>Maintained neutrality and confidentiality across concurrent files, recording case notes and holding file information in line with accreditation standards and privacy obligations.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law, psychology, social work, human services or a related discipline, usually with postgraduate study in dispute resolution or mediation; accreditation through a recognised provider under the National Mediator Accreditation System, plus separate accreditation for family dispute resolution practice where relevant.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