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Medical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medical administrator with a background in practice management and health service operations. Skilled in budgeting, accreditation and leading administrative teams across general practice and community health settings. Focused on keeping clinics compliant and financially sustainable so clinicians can concentrate on patient care.</w:t>
      </w:r>
    </w:p>
    <w:p>
      <w:pPr>
        <w:spacing w:before="280" w:after="120"/>
        <w:jc w:val="left"/>
        <w:pBdr>
          <w:bottom w:val="single" w:sz="6" w:space="4" w:color="DFDED8"/>
        </w:pBdr>
      </w:pPr>
      <w:r>
        <w:rPr>
          <w:b/>
          <w:color w:val="2F62D9"/>
          <w:sz w:val="22"/>
        </w:rPr>
        <w:t>KEY SKILLS</w:t>
      </w:r>
    </w:p>
    <w:p>
      <w:pPr>
        <w:spacing w:before="0" w:after="200"/>
        <w:jc w:val="left"/>
      </w:pPr>
      <w:r>
        <w:t>Medical administration and records   •   Operations management   •   Budgeting and forecasting   •   Regulatory compliance   •   Data analysis   •   Best Practice   •   MedicalDirector PracSoft   •   Microsoft Excel   •   Power BI   •   Zedmed   •   People leadership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Medical Administrator</w:t>
      </w:r>
      <w:r>
        <w:t>, [Company Name], [City]</w:t>
      </w:r>
      <w:r>
        <w:rPr>
          <w:i/>
        </w:rPr>
        <w:tab/>
        <w:t>[Month Year] – [Month Year / Present]</w:t>
      </w:r>
    </w:p>
    <w:p>
      <w:pPr>
        <w:pStyle w:val="ListBullet"/>
        <w:spacing w:after="80" w:line="276" w:lineRule="auto"/>
      </w:pPr>
      <w:r>
        <w:t>Managed day to day operations of a multi-site general practice, coordinating reception, nursing and allied health rosters to keep clinics running without gaps.</w:t>
      </w:r>
    </w:p>
    <w:p>
      <w:pPr>
        <w:pStyle w:val="ListBullet"/>
        <w:spacing w:after="80" w:line="276" w:lineRule="auto"/>
      </w:pPr>
      <w:r>
        <w:t>Developed and monitored annual budgets across clinical and administrative cost centres, identifying overspend early and reallocating resources to stay within funding agreements.</w:t>
      </w:r>
    </w:p>
    <w:p>
      <w:pPr>
        <w:pStyle w:val="ListBullet"/>
        <w:spacing w:after="80" w:line="276" w:lineRule="auto"/>
      </w:pPr>
      <w:r>
        <w:t>Led preparation for accreditation against the National Safety and Quality Health Service Standards, working with clinical leads to close gaps and pass assessment with no major findings.</w:t>
      </w:r>
    </w:p>
    <w:p>
      <w:pPr>
        <w:pStyle w:val="ListBullet"/>
        <w:spacing w:after="80" w:line="276" w:lineRule="auto"/>
      </w:pPr>
      <w:r>
        <w:t>Reduced rejected Medicare claims from around 20 a month to fewer than 10 by improving billing workflows and training staff on correct item numbers.</w:t>
      </w:r>
    </w:p>
    <w:p>
      <w:pPr>
        <w:pStyle w:val="ListBullet"/>
        <w:spacing w:after="80" w:line="276" w:lineRule="auto"/>
      </w:pPr>
      <w:r>
        <w:t>Recruited and rostered administrative and clinical support staff, building a stable team that reduced reliance on agency cover.</w:t>
      </w:r>
    </w:p>
    <w:p>
      <w:pPr>
        <w:pStyle w:val="ListBullet"/>
        <w:spacing w:after="240" w:line="276" w:lineRule="auto"/>
      </w:pPr>
      <w:r>
        <w:t>Negotiated service agreements with local health networks and suppliers, securing favourable terms for chronic disease programs and interpreting services.</w:t>
      </w:r>
    </w:p>
    <w:p>
      <w:pPr>
        <w:spacing w:before="280" w:after="120"/>
        <w:jc w:val="left"/>
        <w:pBdr>
          <w:bottom w:val="single" w:sz="6" w:space="4" w:color="DFDED8"/>
        </w:pBdr>
      </w:pPr>
      <w:r>
        <w:rPr>
          <w:b/>
          <w:color w:val="2F62D9"/>
          <w:sz w:val="22"/>
        </w:rPr>
        <w:t>EDUCATION</w:t>
      </w:r>
    </w:p>
    <w:p>
      <w:pPr>
        <w:spacing w:before="0" w:after="200"/>
        <w:jc w:val="left"/>
      </w:pPr>
      <w:r>
        <w:t>Bachelor degree in health management, health science, business or a related field; many medical administrators also hold a postgraduate qualification in health administration, health management or business administration. Some enter with a diploma and significant administrative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