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Medical Laboratory Scientist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Medical laboratory scientist with hands-on experience processing patient specimens across haematology, biochemistry and microscopy platforms, translating raw results into clinically usable data under strict quality and biosafety standards. Comfortable working to NPAAC and NATA accreditation requirements in a fast-turnaround hospital or pathology laboratory, and confident escalating critical findings to pathologists and clinical teams.</w:t>
      </w:r>
    </w:p>
    <w:p>
      <w:pPr>
        <w:spacing w:before="280" w:after="120"/>
        <w:jc w:val="left"/>
        <w:pBdr>
          <w:bottom w:val="single" w:sz="6" w:space="4" w:color="DFDED8"/>
        </w:pBdr>
      </w:pPr>
      <w:r>
        <w:rPr>
          <w:b/>
          <w:color w:val="2F62D9"/>
          <w:sz w:val="22"/>
        </w:rPr>
        <w:t>KEY SKILLS</w:t>
      </w:r>
    </w:p>
    <w:p>
      <w:pPr>
        <w:spacing w:before="0" w:after="200"/>
        <w:jc w:val="left"/>
      </w:pPr>
      <w:r>
        <w:t>Laboratory analysis   •   Clinical assessment and treatment   •   Data analysis   •   Regulatory compliance   •   Haematology analysers   •   Biochemistry analysers   •   Microscopy   •   Laboratory Information System (LIS)   •   Spectrophotometry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Medical Laboratory Scientist</w:t>
      </w:r>
      <w:r>
        <w:t>, [Company Name], [City]</w:t>
      </w:r>
      <w:r>
        <w:rPr>
          <w:i/>
        </w:rPr>
        <w:tab/>
        <w:t>[Month Year] – [Month Year / Present]</w:t>
      </w:r>
    </w:p>
    <w:p>
      <w:pPr>
        <w:pStyle w:val="ListBullet"/>
        <w:spacing w:after="80" w:line="276" w:lineRule="auto"/>
      </w:pPr>
      <w:r>
        <w:t>Prepared and analysed blood, tissue and other clinical specimens using laboratory analysers and microscopy, keeping turnaround times within department targets</w:t>
      </w:r>
    </w:p>
    <w:p>
      <w:pPr>
        <w:pStyle w:val="ListBullet"/>
        <w:spacing w:after="80" w:line="276" w:lineRule="auto"/>
      </w:pPr>
      <w:r>
        <w:t>Performed daily quality assurance checks and calibration on haematology and biochemistry analysers, reducing repeat testing caused by instrument drift</w:t>
      </w:r>
    </w:p>
    <w:p>
      <w:pPr>
        <w:pStyle w:val="ListBullet"/>
        <w:spacing w:after="80" w:line="276" w:lineRule="auto"/>
      </w:pPr>
      <w:r>
        <w:t>Recorded and interpreted test results within clinical reference ranges, flagging discrepancies for pathologist review before results were released</w:t>
      </w:r>
    </w:p>
    <w:p>
      <w:pPr>
        <w:pStyle w:val="ListBullet"/>
        <w:spacing w:after="80" w:line="276" w:lineRule="auto"/>
      </w:pPr>
      <w:r>
        <w:t>Maintained biosafety and infection-control protocols across specimen handling and disposal, supporting a clean record against NATA and NPAAC requirements</w:t>
      </w:r>
    </w:p>
    <w:p>
      <w:pPr>
        <w:pStyle w:val="ListBullet"/>
        <w:spacing w:after="80" w:line="276" w:lineRule="auto"/>
      </w:pPr>
      <w:r>
        <w:t>Communicated abnormal and critical results directly to pathologists and clinical teams, supporting timely treatment decisions</w:t>
      </w:r>
    </w:p>
    <w:p>
      <w:pPr>
        <w:pStyle w:val="ListBullet"/>
        <w:spacing w:after="240" w:line="276" w:lineRule="auto"/>
      </w:pPr>
      <w:r>
        <w:t>Logged and tracked specimens through the Laboratory Information System, maintaining chain-of-custody accuracy from receipt to reporting</w:t>
      </w:r>
    </w:p>
    <w:p>
      <w:pPr>
        <w:spacing w:before="280" w:after="120"/>
        <w:jc w:val="left"/>
        <w:pBdr>
          <w:bottom w:val="single" w:sz="6" w:space="4" w:color="DFDED8"/>
        </w:pBdr>
      </w:pPr>
      <w:r>
        <w:rPr>
          <w:b/>
          <w:color w:val="2F62D9"/>
          <w:sz w:val="22"/>
        </w:rPr>
        <w:t>EDUCATION</w:t>
      </w:r>
    </w:p>
    <w:p>
      <w:pPr>
        <w:spacing w:before="0" w:after="200"/>
        <w:jc w:val="left"/>
      </w:pPr>
      <w:r>
        <w:t>Bachelor of Science or Bachelor of Applied Science (Medical Laboratory Science), followed by supervised practical training and certification eligibility with the Australian Institute of Medical and Scientific Technologists (AIMS); many senior roles also hold a postgraduate qualification such as a Master's or Graduate Diploma in Medical Science.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