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Microbiologist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Microbiologist with hands-on laboratory experience identifying and characterising bacteria, viruses and fungi across clinical, food safety or environmental settings. Skilled in culture-based and molecular identification methods, antibiotic sensitivity testing and technical report writing for clinicians, regulators or research teams. Comfortable working to strict laboratory safety and quality standards in a NATA-accredited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Microbial culturing and identification   •   Antibiotic sensitivity testing   •   Molecular methods (PCR)   •   Microscopy (optical and electron)   •   Laboratory Information Management Systems (LIMS)   •   Spectrophotometry   •   Regulatory compliance and quality assurance   •   Technical report writing   •   Field sampling and specimen handling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Microbiologist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Cultured and identified microbial isolates from clinical or environmental specimens using selective media, Gram staining and biochemical testing, maintaining sample turnaround within laboratory service targets</w:t>
      </w:r>
    </w:p>
    <w:p>
      <w:pPr>
        <w:pStyle w:val="ListBullet"/>
        <w:spacing w:after="80" w:line="276" w:lineRule="auto"/>
      </w:pPr>
      <w:r>
        <w:t>Performed antibiotic sensitivity testing on bacterial isolates to support treatment decisions, flagging resistant strains for clinician follow-up</w:t>
      </w:r>
    </w:p>
    <w:p>
      <w:pPr>
        <w:pStyle w:val="ListBullet"/>
        <w:spacing w:after="80" w:line="276" w:lineRule="auto"/>
      </w:pPr>
      <w:r>
        <w:t>Operated PCR and spectrophotometry equipment to confirm pathogen identification, cross-checking results against manual microscopy findings for accuracy</w:t>
      </w:r>
    </w:p>
    <w:p>
      <w:pPr>
        <w:pStyle w:val="ListBullet"/>
        <w:spacing w:after="80" w:line="276" w:lineRule="auto"/>
      </w:pPr>
      <w:r>
        <w:t>Prepared technical reports summarising culture results, resistance patterns and testing methodology for pathologists, food safety auditors or research supervisors</w:t>
      </w:r>
    </w:p>
    <w:p>
      <w:pPr>
        <w:pStyle w:val="ListBullet"/>
        <w:spacing w:after="80" w:line="276" w:lineRule="auto"/>
      </w:pPr>
      <w:r>
        <w:t>Maintained aseptic technique and sterilisation protocols across the laboratory, contributing to a reduction in contaminated sample re-runs</w:t>
      </w:r>
    </w:p>
    <w:p>
      <w:pPr>
        <w:pStyle w:val="ListBullet"/>
        <w:spacing w:after="240" w:line="276" w:lineRule="auto"/>
      </w:pPr>
      <w:r>
        <w:t>Logged and tracked specimens through LIMS, keeping chain-of-custody and result records audit-ready for NATA assessment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microbiology, biomedical science or a related science discipline is the standard entry pathway (held by around half of practitioners), with many progressing to honours or a postgraduate qualification for clinical, research or senior diagnostic roles; clinical positions typically require registration or accreditation aligned with RCPA or NATA/AS ISO 15189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