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Miner with hands-on experience operating drilling, blasting and loading equipment in underground and open-cut environments. Strong record of following strict WHS protocols, maintaining plant and equipment, and monitoring geological conditions to keep extraction sites productive and compliant. Comfortable with shift rosters, remote-site living and physically demanding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Worksite safety management (WHS)   •   Hand and power tool work   •   Drill rig operation   •   Load-haul-dump (LHD) vehicle operation   •   Licensed explosives handling   •   SCADA monitoring systems   •   Regulatory compliance   •   Risk and internal controls   •   Problem solving under time pressure   •   Attention to detail in hazard identification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drilling, blasting and loading equipment across underground and open-cut faces, meeting daily production targets while maintaining zero lost-time injuries for the shift crew</w:t>
      </w:r>
    </w:p>
    <w:p>
      <w:pPr>
        <w:pStyle w:val="ListBullet"/>
        <w:spacing w:after="80" w:line="276" w:lineRule="auto"/>
      </w:pPr>
      <w:r>
        <w:t>Inspected mine sites and equipment daily for safety hazards and maintenance needs, logging findings and closing out corrective actions before shift handover</w:t>
      </w:r>
    </w:p>
    <w:p>
      <w:pPr>
        <w:pStyle w:val="ListBullet"/>
        <w:spacing w:after="80" w:line="276" w:lineRule="auto"/>
      </w:pPr>
      <w:r>
        <w:t>Installed and maintained ground support structures, ventilation and drainage systems in line with site safety management plans</w:t>
      </w:r>
    </w:p>
    <w:p>
      <w:pPr>
        <w:pStyle w:val="ListBullet"/>
        <w:spacing w:after="80" w:line="276" w:lineRule="auto"/>
      </w:pPr>
      <w:r>
        <w:t>Monitored geological conditions and recorded production data using SCADA systems, flagging changes to supervisors to prevent unplanned downtime</w:t>
      </w:r>
    </w:p>
    <w:p>
      <w:pPr>
        <w:pStyle w:val="ListBullet"/>
        <w:spacing w:after="80" w:line="276" w:lineRule="auto"/>
      </w:pPr>
      <w:r>
        <w:t>Followed lockout-tagout and confined-space entry procedures consistently, contributing to the site's clean safety audit record</w:t>
      </w:r>
    </w:p>
    <w:p>
      <w:pPr>
        <w:pStyle w:val="ListBullet"/>
        <w:spacing w:after="240" w:line="276" w:lineRule="auto"/>
      </w:pPr>
      <w:r>
        <w:t>Held and maintained statutory tickets and a licensed explosives certification, kept current through scheduled refresher training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Year 10 or 12 completion, followed by a Standard 11 (or equivalent) mine safety induction and a Certificate II in Surface Extraction Operations or a Certificate II or III in Underground Metalliferous Mining, often completed through a traineeship; specific roles require licensed tickets such as drill rig, load-haul-dump or explosives handling.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