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Mining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Mining engineer with experience across mine planning, geotechnical assessment and production optimisation in surface and underground operations. Comfortable moving between feasibility studies, pit design software and on-site supervision, with a consistent focus on safety compliance and cost control. Works well within statutory reporting frameworks and multidisciplinary site teams including geology, survey and operations.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Mine layout and extraction sequence design   •   Geotechnical analysis and pit slope stability modelling   •   Feasibility studies and cost-benefit analysis   •   Ventilation and ground support systems   •   Drilling and blasting oversight   •   Environmental compliance and rehabilitation planning   •   Maptek Vulcan and Surpac mine planning software   •   AutoCAD and MicroStation technical drawing   •   GIS and surveying instruments   •   Risk and internal controls   •   Budgeting and forecasting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Mining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pit layouts and extraction sequences using Surpac and geotechnical modelling software, reducing rework on staged mine plans</w:t>
      </w:r>
    </w:p>
    <w:p>
      <w:pPr>
        <w:pStyle w:val="ListBullet"/>
        <w:spacing w:after="80" w:line="276" w:lineRule="auto"/>
      </w:pPr>
      <w:r>
        <w:t>Led feasibility studies on project expansions, presenting cost-benefit findings to site management and finance stakeholders to support investment decisions</w:t>
      </w:r>
    </w:p>
    <w:p>
      <w:pPr>
        <w:pStyle w:val="ListBullet"/>
        <w:spacing w:after="80" w:line="276" w:lineRule="auto"/>
      </w:pPr>
      <w:r>
        <w:t>Managed ventilation and ground support systems in underground panels, maintaining compliance with statutory safety standards throughout development</w:t>
      </w:r>
    </w:p>
    <w:p>
      <w:pPr>
        <w:pStyle w:val="ListBullet"/>
        <w:spacing w:after="80" w:line="276" w:lineRule="auto"/>
      </w:pPr>
      <w:r>
        <w:t>Coordinated drilling and blasting schedules with operations teams, lifting material handling productivity against plan</w:t>
      </w:r>
    </w:p>
    <w:p>
      <w:pPr>
        <w:pStyle w:val="ListBullet"/>
        <w:spacing w:after="240" w:line="276" w:lineRule="auto"/>
      </w:pPr>
      <w:r>
        <w:t>Monitored environmental controls and rehabilitation works, keeping site activities within licence conditions ahead of regulator audits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Engineering (Mining) accredited by Engineers Australia, often followed by a postgraduate degree and a statutory Mine Manager's Certificate (First Class or Deputy) issued by the relevant state resources regulator.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