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Museum Guide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Museum Guide with a background in cultural heritage and visitor services, skilled at leading tours that make collections accessible to school groups, tourists and local communities. Combines subject knowledge in art, history or science with front-of-house experience and collection care awareness. Works across gallery floors, education programs and public events in Australian museums and galleries.</w:t>
      </w:r>
    </w:p>
    <w:p>
      <w:pPr>
        <w:spacing w:before="280" w:after="120"/>
        <w:jc w:val="left"/>
        <w:pBdr>
          <w:bottom w:val="single" w:sz="6" w:space="4" w:color="DFDED8"/>
        </w:pBdr>
      </w:pPr>
      <w:r>
        <w:rPr>
          <w:b/>
          <w:color w:val="2F62D9"/>
          <w:sz w:val="22"/>
        </w:rPr>
        <w:t>KEY SKILLS</w:t>
      </w:r>
    </w:p>
    <w:p>
      <w:pPr>
        <w:spacing w:before="0" w:after="200"/>
        <w:jc w:val="left"/>
      </w:pPr>
      <w:r>
        <w:t>Guided tours and exhibition interpretation   •   Teaching and instruction for school and community groups   •   Event coordination for talks, openings and tours   •   Front-of-house service and visitor enquiries   •   Collection care and gallery monitoring   •   Tessitura   •   Blackbaud Altru   •   PastPerfect Museum Software   •   Microsoft Office   •   Audio guide systems   •   Written communication for tour scripts and program notes   •   Customer service   •   Attention to detail   •   Digital literacy   •   Working with Children Check   •   First Nations cultural protocols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Museum Guide</w:t>
      </w:r>
      <w:r>
        <w:t>, [Company Name], [City]</w:t>
      </w:r>
      <w:r>
        <w:rPr>
          <w:i/>
        </w:rPr>
        <w:tab/>
        <w:t>[Month Year] – [Month Year / Present]</w:t>
      </w:r>
    </w:p>
    <w:p>
      <w:pPr>
        <w:pStyle w:val="ListBullet"/>
        <w:spacing w:after="80" w:line="276" w:lineRule="auto"/>
      </w:pPr>
      <w:r>
        <w:t>Led guided tours for groups of up to 30 visitors, adjusting pace and language for school classes, tourists and visitors with access needs.</w:t>
      </w:r>
    </w:p>
    <w:p>
      <w:pPr>
        <w:pStyle w:val="ListBullet"/>
        <w:spacing w:after="80" w:line="276" w:lineRule="auto"/>
      </w:pPr>
      <w:r>
        <w:t>Delivered curriculum-linked education programs to primary and secondary students, working with teachers to match content to their term topics.</w:t>
      </w:r>
    </w:p>
    <w:p>
      <w:pPr>
        <w:pStyle w:val="ListBullet"/>
        <w:spacing w:after="80" w:line="276" w:lineRule="auto"/>
      </w:pPr>
      <w:r>
        <w:t>Assisted visitors at front desk and across galleries with wayfinding, accessibility information and exhibition enquiries, keeping wait times short during peak periods.</w:t>
      </w:r>
    </w:p>
    <w:p>
      <w:pPr>
        <w:pStyle w:val="ListBullet"/>
        <w:spacing w:after="80" w:line="276" w:lineRule="auto"/>
      </w:pPr>
      <w:r>
        <w:t>Monitored gallery spaces and reported conservation, security or maintenance concerns to supervisors before they affected collection items.</w:t>
      </w:r>
    </w:p>
    <w:p>
      <w:pPr>
        <w:pStyle w:val="ListBullet"/>
        <w:spacing w:after="80" w:line="276" w:lineRule="auto"/>
      </w:pPr>
      <w:r>
        <w:t>Coordinated logistics for exhibition talks and opening events, including audio guide setup, seating and volunteer rosters.</w:t>
      </w:r>
    </w:p>
    <w:p>
      <w:pPr>
        <w:pStyle w:val="ListBullet"/>
        <w:spacing w:after="240" w:line="276" w:lineRule="auto"/>
      </w:pPr>
      <w:r>
        <w:t>Maintained tour bookings, visitor records and program attendance in Tessitura, giving the front-of-house team accurate daily schedules.</w:t>
      </w:r>
    </w:p>
    <w:p>
      <w:pPr>
        <w:spacing w:before="280" w:after="120"/>
        <w:jc w:val="left"/>
        <w:pBdr>
          <w:bottom w:val="single" w:sz="6" w:space="4" w:color="DFDED8"/>
        </w:pBdr>
      </w:pPr>
      <w:r>
        <w:rPr>
          <w:b/>
          <w:color w:val="2F62D9"/>
          <w:sz w:val="22"/>
        </w:rPr>
        <w:t>EDUCATION</w:t>
      </w:r>
    </w:p>
    <w:p>
      <w:pPr>
        <w:spacing w:before="0" w:after="200"/>
        <w:jc w:val="left"/>
      </w:pPr>
      <w:r>
        <w:t>Bachelor degree in history, art history, museum studies, archaeology or a related field; some guides enter with a diploma or Certificate III/IV in museum practice and relevant front-of-house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