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Neurologist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Neurologist with FRACP advanced training and experience across hospital, outpatient and telestroke settings. Skilled in assessing and managing epilepsy, stroke, migraine, movement disorders and neuromuscular conditions, with strong command of EEG, nerve conduction studies and neuroimaging interpretation. Committed to multidisciplinary care, clear patient communication and supervision of junior medical staff.</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of neurological disorders   •   Patient care and support   •   Medication management   •   Care planning and coordination   •   Health education and advice   •   EEG and nerve conduction systems   •   PACS imaging software   •   Epic   •   Cerner   •   Telestroke platforms   •   Lumbar puncture   •   Botulinum toxin injections   •   Written communication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Neurologist</w:t>
      </w:r>
      <w:r>
        <w:t>, [Company Name], [City]</w:t>
      </w:r>
      <w:r>
        <w:rPr>
          <w:i/>
        </w:rPr>
        <w:tab/>
        <w:t>[Month Year] – [Month Year / Present]</w:t>
      </w:r>
    </w:p>
    <w:p>
      <w:pPr>
        <w:pStyle w:val="ListBullet"/>
        <w:spacing w:after="80" w:line="276" w:lineRule="auto"/>
      </w:pPr>
      <w:r>
        <w:t>Assessed and managed patients with seizures, weakness, headache and memory loss across inpatient and clinic settings, maintaining continuity through multidisciplinary care planning.</w:t>
      </w:r>
    </w:p>
    <w:p>
      <w:pPr>
        <w:pStyle w:val="ListBullet"/>
        <w:spacing w:after="80" w:line="276" w:lineRule="auto"/>
      </w:pPr>
      <w:r>
        <w:t>Interpreted MRI, EEG and nerve conduction studies to confirm diagnoses and guide treatment, reducing repeat testing by documenting findings clearly in Epic and PACS.</w:t>
      </w:r>
    </w:p>
    <w:p>
      <w:pPr>
        <w:pStyle w:val="ListBullet"/>
        <w:spacing w:after="80" w:line="276" w:lineRule="auto"/>
      </w:pPr>
      <w:r>
        <w:t>Prescribed and monitored medicines for epilepsy, multiple sclerosis and Parkinson disease, adjusting regimens after review to improve symptom control and reduce adverse effects.</w:t>
      </w:r>
    </w:p>
    <w:p>
      <w:pPr>
        <w:pStyle w:val="ListBullet"/>
        <w:spacing w:after="80" w:line="276" w:lineRule="auto"/>
      </w:pPr>
      <w:r>
        <w:t>Performed lumbar punctures and botulinum toxin injections in ward and outpatient settings, completing procedures safely and documenting outcomes promptly.</w:t>
      </w:r>
    </w:p>
    <w:p>
      <w:pPr>
        <w:pStyle w:val="ListBullet"/>
        <w:spacing w:after="80" w:line="276" w:lineRule="auto"/>
      </w:pPr>
      <w:r>
        <w:t>Supervised junior medical staff and registrars during ward rounds and clinics, supporting their assessment skills and safe prescribing practices.</w:t>
      </w:r>
    </w:p>
    <w:p>
      <w:pPr>
        <w:pStyle w:val="ListBullet"/>
        <w:spacing w:after="80" w:line="276" w:lineRule="auto"/>
      </w:pPr>
      <w:r>
        <w:t>Reduced average wait for routine EEG reporting from eight weeks to four by triaging referrals and running additional reporting sessions.</w:t>
      </w:r>
    </w:p>
    <w:p>
      <w:pPr>
        <w:pStyle w:val="ListBullet"/>
        <w:spacing w:after="240" w:line="276" w:lineRule="auto"/>
      </w:pPr>
      <w:r>
        <w:t>Lowered avoidable admissions for epilepsy patients by setting up a nurse-led review clinic that followed up medication changes within a fortnight.</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internship, residency and RACP advanced training in neurology, leading to Fellowship of the Royal Australasian College of Physicians (FRACP).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