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Neuroscientist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Neuroscientist with a research background spanning cellular neuroscience and behavioural analysis, comfortable moving between wet-lab work and large datasets. Experienced in designing experiments, analysing neuroimaging and electrophysiological recordings, and communicating findings through peer-reviewed publications and conference presentations. Looking to contribute to a research group focused on translating nervous system science into clinical or therapeutic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Experimental design for behavioural and cellular neuroscience   •   Neuroimaging and electrophysiological data analysis   •   Statistical modelling and data analysis   •   MATLAB   •   Python (SciPy/NumPy)   •   R   •   GraphPad Prism   •   ImageJ/Fiji   •   Research student and technical staff supervision   •   Grant writing and peer-reviewed publication   •   Presenting and data storytelling   •   Attention to detail in protocol and records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Neuroscientist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ran behavioural and electrophysiological experiments across multiple study cohorts, refining protocols as results came in to keep data quality consistent.</w:t>
      </w:r>
    </w:p>
    <w:p>
      <w:pPr>
        <w:pStyle w:val="ListBullet"/>
        <w:spacing w:after="80" w:line="276" w:lineRule="auto"/>
      </w:pPr>
      <w:r>
        <w:t>Built analysis pipelines in Python and MATLAB to process neuroimaging and recording data, cutting the time from raw files to usable results from weeks to days.</w:t>
      </w:r>
    </w:p>
    <w:p>
      <w:pPr>
        <w:pStyle w:val="ListBullet"/>
        <w:spacing w:after="80" w:line="276" w:lineRule="auto"/>
      </w:pPr>
      <w:r>
        <w:t>Published findings in peer-reviewed journals and presented at national and international conferences, translating complex results for mixed scientific and clinical audiences.</w:t>
      </w:r>
    </w:p>
    <w:p>
      <w:pPr>
        <w:pStyle w:val="ListBullet"/>
        <w:spacing w:after="80" w:line="276" w:lineRule="auto"/>
      </w:pPr>
      <w:r>
        <w:t>Supervised honours and PhD students through experiment design, data analysis and thesis preparation, with several going on to publish their own first-author papers.</w:t>
      </w:r>
    </w:p>
    <w:p>
      <w:pPr>
        <w:pStyle w:val="ListBullet"/>
        <w:spacing w:after="80" w:line="276" w:lineRule="auto"/>
      </w:pPr>
      <w:r>
        <w:t>Contributed to successful grant applications by preparing preliminary data, figures and supporting analysis for competitive funding rounds.</w:t>
      </w:r>
    </w:p>
    <w:p>
      <w:pPr>
        <w:pStyle w:val="ListBullet"/>
        <w:spacing w:after="240" w:line="276" w:lineRule="auto"/>
      </w:pPr>
      <w:r>
        <w:t>Maintained detailed laboratory records and coordinated with collaborators across institutions to keep multi-site studies on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neuroscience, psychology, biomedical science or a related discipline is the usual entry point, typically followed by an honours year and a PhD for independent research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