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Neurosurgeon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Neurosurgeon with extensive experience in complex brain and spinal surgery, patient-centred care and multidisciplinary collaboration. Skilled in diagnosing neurological disorders, performing intricate procedures and managing post-operative recovery. Committed to teaching, safety and improving outcomes for patients with serious neurological conditions.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Care planning and coordination   •   Infection control and hygiene   •   Surgical navigation systems   •   Intraoperative MRI   •   Neurophysiological monitoring   •   Robotic surgery systems   •   Electronic medical records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Neurosurgeon</w:t>
      </w:r>
      <w:r>
        <w:t>, [Company Name], [City]</w:t>
      </w:r>
      <w:r>
        <w:rPr>
          <w:i/>
        </w:rPr>
        <w:tab/>
        <w:t>[Month Year] – [Month Year / Present]</w:t>
      </w:r>
    </w:p>
    <w:p>
      <w:pPr>
        <w:pStyle w:val="ListBullet"/>
        <w:spacing w:after="80" w:line="276" w:lineRule="auto"/>
      </w:pPr>
      <w:r>
        <w:t>Performed over 200 complex brain and spinal surgeries annually, maintaining a low complication rate through meticulous technique and intraoperative monitoring.</w:t>
      </w:r>
    </w:p>
    <w:p>
      <w:pPr>
        <w:pStyle w:val="ListBullet"/>
        <w:spacing w:after="80" w:line="276" w:lineRule="auto"/>
      </w:pPr>
      <w:r>
        <w:t>Diagnosed neurological disorders using advanced imaging and tests, collaborating with multidisciplinary teams to plan surgical interventions and ensure timely care.</w:t>
      </w:r>
    </w:p>
    <w:p>
      <w:pPr>
        <w:pStyle w:val="ListBullet"/>
        <w:spacing w:after="80" w:line="276" w:lineRule="auto"/>
      </w:pPr>
      <w:r>
        <w:t>Reduced average length of stay for elective spinal surgery patients from five days to three by standardising post-operative care pathways.</w:t>
      </w:r>
    </w:p>
    <w:p>
      <w:pPr>
        <w:pStyle w:val="ListBullet"/>
        <w:spacing w:after="80" w:line="276" w:lineRule="auto"/>
      </w:pPr>
      <w:r>
        <w:t>Consulted with patients and families about surgical options, improving patient satisfaction through clear communication and shared decision making.</w:t>
      </w:r>
    </w:p>
    <w:p>
      <w:pPr>
        <w:pStyle w:val="ListBullet"/>
        <w:spacing w:after="240" w:line="276" w:lineRule="auto"/>
      </w:pPr>
      <w:r>
        <w:t>Supervised and trained over 20 registrars, many of whom progressed to independent neurosurgical practice.</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residency and specialist neurosurgery training through the Royal Australasian College of Surgeons (RACS) and the Neurosurgical Society of Australasia (NSA).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