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Non-Executive Director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Experienced non-executive director with a background in financial and governance oversight across the public and private sectors. Brings independent judgement to strategy, risk and financial reporting, with committee experience in audit and risk. Committed to strong governance under the Corporations Act and, for listed entities, the ASX Corporate Governance Principles.</w:t>
      </w:r>
    </w:p>
    <w:p>
      <w:pPr>
        <w:spacing w:before="280" w:after="120"/>
        <w:jc w:val="left"/>
        <w:pBdr>
          <w:bottom w:val="single" w:sz="6" w:space="4" w:color="DFDED8"/>
        </w:pBdr>
      </w:pPr>
      <w:r>
        <w:rPr>
          <w:b/>
          <w:color w:val="2F62D9"/>
          <w:sz w:val="22"/>
        </w:rPr>
        <w:t>KEY SKILLS</w:t>
      </w:r>
    </w:p>
    <w:p>
      <w:pPr>
        <w:spacing w:before="0" w:after="200"/>
        <w:jc w:val="left"/>
      </w:pPr>
      <w:r>
        <w:t>Strategy development   •   Risk and internal controls   •   Financial reporting   •   Regulatory compliance   •   Board portal software (e.g. Diligent)   •   Governance and risk frameworks   •   Stakeholder management   •   People leadership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Non-Executive Director</w:t>
      </w:r>
      <w:r>
        <w:t>, [Company Name], [City]</w:t>
      </w:r>
      <w:r>
        <w:rPr>
          <w:i/>
        </w:rPr>
        <w:tab/>
        <w:t>[Month Year] – [Month Year / Present]</w:t>
      </w:r>
    </w:p>
    <w:p>
      <w:pPr>
        <w:pStyle w:val="ListBullet"/>
        <w:spacing w:after="80" w:line="276" w:lineRule="auto"/>
      </w:pPr>
      <w:r>
        <w:t>Chaired audit committee, leading a review of internal controls that identified and addressed key financial reporting risks.</w:t>
      </w:r>
    </w:p>
    <w:p>
      <w:pPr>
        <w:pStyle w:val="ListBullet"/>
        <w:spacing w:after="80" w:line="276" w:lineRule="auto"/>
      </w:pPr>
      <w:r>
        <w:t>Contributed to strategic planning that resulted in a clear three-year growth roadmap for the organisation.</w:t>
      </w:r>
    </w:p>
    <w:p>
      <w:pPr>
        <w:pStyle w:val="ListBullet"/>
        <w:spacing w:after="80" w:line="276" w:lineRule="auto"/>
      </w:pPr>
      <w:r>
        <w:t>Oversaw risk management framework, ensuring compliance with Corporations Act obligations and ASX governance principles.</w:t>
      </w:r>
    </w:p>
    <w:p>
      <w:pPr>
        <w:pStyle w:val="ListBullet"/>
        <w:spacing w:after="80" w:line="276" w:lineRule="auto"/>
      </w:pPr>
      <w:r>
        <w:t>Questioned management on performance metrics, leading to improved reporting transparency and accountability.</w:t>
      </w:r>
    </w:p>
    <w:p>
      <w:pPr>
        <w:pStyle w:val="ListBullet"/>
        <w:spacing w:after="240" w:line="276" w:lineRule="auto"/>
      </w:pPr>
      <w:r>
        <w:t>Participated in succession planning for executive roles, helping to secure a smooth leadership transition.</w:t>
      </w:r>
    </w:p>
    <w:p>
      <w:pPr>
        <w:spacing w:before="280" w:after="120"/>
        <w:jc w:val="left"/>
        <w:pBdr>
          <w:bottom w:val="single" w:sz="6" w:space="4" w:color="DFDED8"/>
        </w:pBdr>
      </w:pPr>
      <w:r>
        <w:rPr>
          <w:b/>
          <w:color w:val="2F62D9"/>
          <w:sz w:val="22"/>
        </w:rPr>
        <w:t>EDUCATION</w:t>
      </w:r>
    </w:p>
    <w:p>
      <w:pPr>
        <w:spacing w:before="0" w:after="200"/>
        <w:jc w:val="left"/>
      </w:pPr>
      <w:r>
        <w:t>Bachelor degree in commerce, law, business or a related field; many directors also complete the Australian Institute of Company Directors (AICD) Company Directors Course.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