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Nurse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Nurse with a background in clinical leadership and ward operations, now focused on nurse management. Skilled in rostering, budget monitoring and clinical governance, with experience supporting nursing teams to deliver safe, person-centred care. Holds AHPRA registration and postgraduate qualifications in health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Budgeting and forecasting   •   Regulatory compliance   •   Risk and internal controls   •   Clinical assessment and treatment   •   People leadership   •   Stakeholder management   •   Written communication   •   Cerner Millennium   •   TrakCare   •   RosterOn   •   Kronos   •  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Nurse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Rostered a 30-bed medical ward across a seven-day rotating roster, balancing skill mix and leave requests to maintain safe staffing levels.</w:t>
      </w:r>
    </w:p>
    <w:p>
      <w:pPr>
        <w:pStyle w:val="ListBullet"/>
        <w:spacing w:after="80" w:line="276" w:lineRule="auto"/>
      </w:pPr>
      <w:r>
        <w:t>Managed the ward budget by monitoring expenditure on consumables and agency staff, bringing overspend back in line over two financial years.</w:t>
      </w:r>
    </w:p>
    <w:p>
      <w:pPr>
        <w:pStyle w:val="ListBullet"/>
        <w:spacing w:after="80" w:line="276" w:lineRule="auto"/>
      </w:pPr>
      <w:r>
        <w:t>Led clinical governance activities including incident review and audit, improving compliance with the National Safety and Quality Health Service Standards.</w:t>
      </w:r>
    </w:p>
    <w:p>
      <w:pPr>
        <w:pStyle w:val="ListBullet"/>
        <w:spacing w:after="80" w:line="276" w:lineRule="auto"/>
      </w:pPr>
      <w:r>
        <w:t>Recruited and inducted new nursing staff, reducing time-to-competency for graduate nurses from six months to four.</w:t>
      </w:r>
    </w:p>
    <w:p>
      <w:pPr>
        <w:pStyle w:val="ListBullet"/>
        <w:spacing w:after="240" w:line="276" w:lineRule="auto"/>
      </w:pPr>
      <w:r>
        <w:t>Coordinated patient flow with medical, allied health and executive teams, reducing discharge delays on the unit.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Nursing, registered with the Nursing and Midwifery Board of Australia (AHPRA), plus a postgraduate qualification in nursing management, health administration or a related field.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