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Nutritionist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Nutritionist with a focus on practical, evidence-based dietary change. Experienced in assessing client needs, developing personalised meal plans and running community nutrition programs. Skilled at translating nutrition science into everyday food choices that clients can sustain.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Health education and advice   •   Counselling and support work   •   Teaching and instruction   •   Community engagement   •   FoodWorks   •   Nutritics   •   ESHA Food Processor   •   Microsoft Excel   •   Written communication   •   Client relationships and advisory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Nutritionist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dietary habits and health goals for a caseload of 30 clients, using 24-hour recalls and food frequency questionnaires to identify nutrient gaps.</w:t>
      </w:r>
    </w:p>
    <w:p>
      <w:pPr>
        <w:pStyle w:val="ListBullet"/>
        <w:spacing w:after="80" w:line="276" w:lineRule="auto"/>
      </w:pPr>
      <w:r>
        <w:t>Developed personalised meal plans that accounted for medical conditions, cultural preferences and budget, with clients reporting improved energy levels within a month.</w:t>
      </w:r>
    </w:p>
    <w:p>
      <w:pPr>
        <w:pStyle w:val="ListBullet"/>
        <w:spacing w:after="80" w:line="276" w:lineRule="auto"/>
      </w:pPr>
      <w:r>
        <w:t>Ran weekly cooking workshops for community groups, teaching knife skills and label reading to participants who had never cooked from scratch before.</w:t>
      </w:r>
    </w:p>
    <w:p>
      <w:pPr>
        <w:pStyle w:val="ListBullet"/>
        <w:spacing w:after="80" w:line="276" w:lineRule="auto"/>
      </w:pPr>
      <w:r>
        <w:t>Monitored client progress over 12-week programs, adjusting plans based on food diaries and feedback, and celebrating small wins to keep motivation high.</w:t>
      </w:r>
    </w:p>
    <w:p>
      <w:pPr>
        <w:pStyle w:val="ListBullet"/>
        <w:spacing w:after="80" w:line="276" w:lineRule="auto"/>
      </w:pPr>
      <w:r>
        <w:t>Used FoodWorks to analyse dietary intake and compare it against the Australian Dietary Guidelines, then recommended practical food swaps.</w:t>
      </w:r>
    </w:p>
    <w:p>
      <w:pPr>
        <w:pStyle w:val="ListBullet"/>
        <w:spacing w:after="240" w:line="276" w:lineRule="auto"/>
      </w:pPr>
      <w:r>
        <w:t>Collaborated with GPs and dietitians to support clients with chronic conditions, ensuring consistent advice and timely referrals.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Nutrition Science or Bachelor of Health Science (Nutrition); some roles accept a Diploma of Nutrition, and postgraduate study in public health or dietetics is common for senior positions.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