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Oral Pathologist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Oral pathologist and registered dental specialist who diagnoses disease of the mouth, jaws and salivary glands from biopsy, cytology and resection specimens. Works alongside oral and maxillofacial surgeons, oncologists and general dentists to guide treatment decisions, and teaches registrars and dental students in hospital and laboratory settings.</w:t>
      </w:r>
    </w:p>
    <w:p>
      <w:pPr>
        <w:spacing w:before="280" w:after="120"/>
        <w:jc w:val="left"/>
        <w:pBdr>
          <w:bottom w:val="single" w:sz="6" w:space="4" w:color="DFDED8"/>
        </w:pBdr>
      </w:pPr>
      <w:r>
        <w:rPr>
          <w:b/>
          <w:color w:val="2F62D9"/>
          <w:sz w:val="22"/>
        </w:rPr>
        <w:t>KEY SKILLS</w:t>
      </w:r>
    </w:p>
    <w:p>
      <w:pPr>
        <w:spacing w:before="0" w:after="200"/>
        <w:jc w:val="left"/>
      </w:pPr>
      <w:r>
        <w:t>Histopathological interpretation of oral and maxillofacial specimens   •   Light microscopy and frozen section review   •   Immunohistochemistry and ancillary molecular testing   •   Digital pathology software and whole slide imaging   •   Laboratory Information Management Systems (LIMS)   •   Clinical correlation and multidisciplinary case discussion   •   Reporting to treating clinicians within agreed turnaround times   •   Supervision and teaching of dental and pathology trainees   •   Quality assurance and laboratory accreditation requirements   •   Clear written reporting for clinical and medico-legal records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Oral Pathologist</w:t>
      </w:r>
      <w:r>
        <w:t>, [Company Name], [City]</w:t>
      </w:r>
      <w:r>
        <w:rPr>
          <w:i/>
        </w:rPr>
        <w:tab/>
        <w:t>[Month Year] – [Month Year / Present]</w:t>
      </w:r>
    </w:p>
    <w:p>
      <w:pPr>
        <w:pStyle w:val="ListBullet"/>
        <w:spacing w:after="80" w:line="276" w:lineRule="auto"/>
      </w:pPr>
      <w:r>
        <w:t>Reviewed complex oral and maxillofacial biopsy and resection cases, correlating histology with clinical and radiological findings to reach a definitive diagnosis.</w:t>
      </w:r>
    </w:p>
    <w:p>
      <w:pPr>
        <w:pStyle w:val="ListBullet"/>
        <w:spacing w:after="80" w:line="276" w:lineRule="auto"/>
      </w:pPr>
      <w:r>
        <w:t>Introduced a structured reporting template for salivary gland specimens, cutting the number of report amendments and callbacks from treating surgeons.</w:t>
      </w:r>
    </w:p>
    <w:p>
      <w:pPr>
        <w:pStyle w:val="ListBullet"/>
        <w:spacing w:after="80" w:line="276" w:lineRule="auto"/>
      </w:pPr>
      <w:r>
        <w:t>Validated an immunohistochemistry panel for undifferentiated oral lesions, reducing the need to send difficult cases to an external reference laboratory.</w:t>
      </w:r>
    </w:p>
    <w:p>
      <w:pPr>
        <w:pStyle w:val="ListBullet"/>
        <w:spacing w:after="80" w:line="276" w:lineRule="auto"/>
      </w:pPr>
      <w:r>
        <w:t>Presented cases at weekly multidisciplinary meetings with surgery and oncology, so treatment planning started from a confirmed diagnosis rather than a working one.</w:t>
      </w:r>
    </w:p>
    <w:p>
      <w:pPr>
        <w:pStyle w:val="ListBullet"/>
        <w:spacing w:after="80" w:line="276" w:lineRule="auto"/>
      </w:pPr>
      <w:r>
        <w:t>Supervised dental registrars and pathology trainees through slide reviews and sign-out sessions, with several progressing to independent reporting.</w:t>
      </w:r>
    </w:p>
    <w:p>
      <w:pPr>
        <w:pStyle w:val="ListBullet"/>
        <w:spacing w:after="240" w:line="276" w:lineRule="auto"/>
      </w:pPr>
      <w:r>
        <w:t>Maintained laboratory documentation and quality records to meet accreditation requirements, including participation in external quality assurance programs.</w:t>
      </w:r>
    </w:p>
    <w:p>
      <w:pPr>
        <w:spacing w:before="280" w:after="120"/>
        <w:jc w:val="left"/>
        <w:pBdr>
          <w:bottom w:val="single" w:sz="6" w:space="4" w:color="DFDED8"/>
        </w:pBdr>
      </w:pPr>
      <w:r>
        <w:rPr>
          <w:b/>
          <w:color w:val="2F62D9"/>
          <w:sz w:val="22"/>
        </w:rPr>
        <w:t>EDUCATION</w:t>
      </w:r>
    </w:p>
    <w:p>
      <w:pPr>
        <w:spacing w:before="0" w:after="200"/>
        <w:jc w:val="left"/>
      </w:pPr>
      <w:r>
        <w:t>Bachelor of Dental Surgery or Doctor of Dental Medicine, followed by specialist training in oral pathology through the Royal Australasian College of Dental Surgeons and Fellowship of the RACDS (Oral Pathology); many oral pathologists also hold a research higher degree.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