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Oral Surgeon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Oral surgeon with specialist registration and experience across hospital, day surgery and private practice settings. Skilled in surgical extractions, implant placement, facial trauma reconstruction and the management of complex infections. Committed to safe, patient-centred care and to supervising the next generation of clinicians.</w:t>
      </w:r>
    </w:p>
    <w:p>
      <w:pPr>
        <w:spacing w:before="280" w:after="120"/>
        <w:jc w:val="left"/>
        <w:pBdr>
          <w:bottom w:val="single" w:sz="6" w:space="4" w:color="DFDED8"/>
        </w:pBdr>
      </w:pPr>
      <w:r>
        <w:rPr>
          <w:b/>
          <w:color w:val="2F62D9"/>
          <w:sz w:val="22"/>
        </w:rPr>
        <w:t>KEY SKILLS</w:t>
      </w:r>
    </w:p>
    <w:p>
      <w:pPr>
        <w:spacing w:before="0" w:after="200"/>
        <w:jc w:val="left"/>
      </w:pPr>
      <w:r>
        <w:t>Surgical extractions and implant placement   •   Facial trauma assessment and reconstruction   •   Orthognathic surgery for jaw deformity   •   Local and general anaesthesia administration   •   Infection control and sterilisation protocols   •   Medication management and post-operative pain control   •   Cone beam CT (CBCT) imaging and interpretation   •   Implant planning software   •   Surgical navigation systems   •   Dental practice management software   •   Clinical supervision and registrar teaching   •   Written communication and patient records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Oral Surgeon</w:t>
      </w:r>
      <w:r>
        <w:t>, [Company Name], [City]</w:t>
      </w:r>
      <w:r>
        <w:rPr>
          <w:i/>
        </w:rPr>
        <w:tab/>
        <w:t>[Month Year] – [Month Year / Present]</w:t>
      </w:r>
    </w:p>
    <w:p>
      <w:pPr>
        <w:pStyle w:val="ListBullet"/>
        <w:spacing w:after="80" w:line="276" w:lineRule="auto"/>
      </w:pPr>
      <w:r>
        <w:t>Performed surgical extractions and dental implant placements for up to 15 patients per day, consistently maintaining low post-operative complication rates.</w:t>
      </w:r>
    </w:p>
    <w:p>
      <w:pPr>
        <w:pStyle w:val="ListBullet"/>
        <w:spacing w:after="80" w:line="276" w:lineRule="auto"/>
      </w:pPr>
      <w:r>
        <w:t>Managed facial trauma cases in a hospital setting, including mandibular and zygomatic fractures, coordinating with emergency and radiology teams.</w:t>
      </w:r>
    </w:p>
    <w:p>
      <w:pPr>
        <w:pStyle w:val="ListBullet"/>
        <w:spacing w:after="80" w:line="276" w:lineRule="auto"/>
      </w:pPr>
      <w:r>
        <w:t>Reconstructed jaw deformities through orthognathic surgery, improving patients' ability to eat, speak and breathe.</w:t>
      </w:r>
    </w:p>
    <w:p>
      <w:pPr>
        <w:pStyle w:val="ListBullet"/>
        <w:spacing w:after="80" w:line="276" w:lineRule="auto"/>
      </w:pPr>
      <w:r>
        <w:t>Supervised three registrars in complex surgical cases, providing hands-on teaching and post-operative review.</w:t>
      </w:r>
    </w:p>
    <w:p>
      <w:pPr>
        <w:pStyle w:val="ListBullet"/>
        <w:spacing w:after="80" w:line="276" w:lineRule="auto"/>
      </w:pPr>
      <w:r>
        <w:t>Reduced average waiting time for urgent surgical extraction from five days to two by streamlining triage and theatre scheduling.</w:t>
      </w:r>
    </w:p>
    <w:p>
      <w:pPr>
        <w:pStyle w:val="ListBullet"/>
        <w:spacing w:after="240" w:line="276" w:lineRule="auto"/>
      </w:pPr>
      <w:r>
        <w:t>Implemented a checklist for surgical site marking and instrument counts, cutting minor instrument errors across the unit.</w:t>
      </w:r>
    </w:p>
    <w:p>
      <w:pPr>
        <w:spacing w:before="280" w:after="120"/>
        <w:jc w:val="left"/>
        <w:pBdr>
          <w:bottom w:val="single" w:sz="6" w:space="4" w:color="DFDED8"/>
        </w:pBdr>
      </w:pPr>
      <w:r>
        <w:rPr>
          <w:b/>
          <w:color w:val="2F62D9"/>
          <w:sz w:val="22"/>
        </w:rPr>
        <w:t>EDUCATION</w:t>
      </w:r>
    </w:p>
    <w:p>
      <w:pPr>
        <w:spacing w:before="0" w:after="200"/>
        <w:jc w:val="left"/>
      </w:pPr>
      <w:r>
        <w:t>Bachelor of Dental Surgery or Doctor of Dental Medicine, followed by postgraduate specialist training in oral surgery (such as a Doctor of Clinical Dentistry) and specialist registration with the Dental Board of Australia via AHPRA.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