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Palliative Medicine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Palliative Medicine Physician with fellowship training through the Royal Australasian College of Physicians, working across inpatient, hospice and community settings. Focused on complex symptom control, clear goals of care conversations and supporting families through decisions that are rarely straightforward. Comfortable leading multidisciplinary teams and teaching the next group of registrars coming through the rotation.</w:t>
      </w:r>
    </w:p>
    <w:p>
      <w:pPr>
        <w:spacing w:before="280" w:after="120"/>
        <w:jc w:val="left"/>
        <w:pBdr>
          <w:bottom w:val="single" w:sz="6" w:space="4" w:color="DFDED8"/>
        </w:pBdr>
      </w:pPr>
      <w:r>
        <w:rPr>
          <w:b/>
          <w:color w:val="2F62D9"/>
          <w:sz w:val="22"/>
        </w:rPr>
        <w:t>KEY SKILLS</w:t>
      </w:r>
    </w:p>
    <w:p>
      <w:pPr>
        <w:spacing w:before="0" w:after="200"/>
        <w:jc w:val="left"/>
      </w:pPr>
      <w:r>
        <w:t>Complex pain and symptom assessment, including opioid titration and rotation   •   Advance care planning and goals of care discussions with patients and families   •   Multidisciplinary care planning with nursing, allied health, social work and spiritual care   •   Prescribing and monitoring of opioids, adjuvant analgesics and palliative sedation   •   Subcutaneous syringe drivers and infusion pumps   •   Electronic medical records such as PowerChart or eMR   •   eMIMS and state palliative care prescribing guidelines   •   Palliative Care Outcomes Collaboration (PCOC) assessment tools   •   Telehealth consultation for community and rural patients   •   Supervision, teaching and feedback for registrars and junior doctors   •   Written communication, including letters to GPs, aged care and community providers   •   Family meetings and conflict navigation around prognosis and preferred place of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Palliative Medicine Physician</w:t>
      </w:r>
      <w:r>
        <w:t>, [Company Name], [City]</w:t>
      </w:r>
      <w:r>
        <w:rPr>
          <w:i/>
        </w:rPr>
        <w:tab/>
        <w:t>[Month Year] – [Month Year / Present]</w:t>
      </w:r>
    </w:p>
    <w:p>
      <w:pPr>
        <w:pStyle w:val="ListBullet"/>
        <w:spacing w:after="80" w:line="276" w:lineRule="auto"/>
      </w:pPr>
      <w:r>
        <w:t>Managed complex cancer and non-cancer pain on an inpatient palliative care unit, rotating opioids and adding adjuvant agents where response was poor, which cut unscheduled after-hours reviews noticeably</w:t>
      </w:r>
    </w:p>
    <w:p>
      <w:pPr>
        <w:pStyle w:val="ListBullet"/>
        <w:spacing w:after="80" w:line="276" w:lineRule="auto"/>
      </w:pPr>
      <w:r>
        <w:t>Led weekly multidisciplinary meetings with nursing, allied health, social work and spiritual care, with documented goals of care completed for every patient on the active caseload</w:t>
      </w:r>
    </w:p>
    <w:p>
      <w:pPr>
        <w:pStyle w:val="ListBullet"/>
        <w:spacing w:after="80" w:line="276" w:lineRule="auto"/>
      </w:pPr>
      <w:r>
        <w:t>Ran family case conferences covering prognosis, ceilings of treatment and advance care planning, supporting patients to record a preferred place of care and have it respected</w:t>
      </w:r>
    </w:p>
    <w:p>
      <w:pPr>
        <w:pStyle w:val="ListBullet"/>
        <w:spacing w:after="80" w:line="276" w:lineRule="auto"/>
      </w:pPr>
      <w:r>
        <w:t>Supervised registrars and junior doctors on rotation, running bedside teaching and practical sessions on syringe driver setup, breakthrough dosing and end of life prescribing</w:t>
      </w:r>
    </w:p>
    <w:p>
      <w:pPr>
        <w:pStyle w:val="ListBullet"/>
        <w:spacing w:after="80" w:line="276" w:lineRule="auto"/>
      </w:pPr>
      <w:r>
        <w:t>Embedded PCOC symptom assessment into routine ward rounds so symptom scores were collected consistently across shifts and handover</w:t>
      </w:r>
    </w:p>
    <w:p>
      <w:pPr>
        <w:pStyle w:val="ListBullet"/>
        <w:spacing w:after="80" w:line="276" w:lineRule="auto"/>
      </w:pPr>
      <w:r>
        <w:t>Provided telehealth follow-up for community patients in regional areas, reducing travel to outpatient appointments for people in the last months of life</w:t>
      </w:r>
    </w:p>
    <w:p>
      <w:pPr>
        <w:pStyle w:val="ListBullet"/>
        <w:spacing w:after="240" w:line="276" w:lineRule="auto"/>
      </w:pPr>
      <w:r>
        <w:t>Worked with residential aged care staff on end of life prescribing and escalation planning, improving confidence in managing symptoms overnight</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or equivalent, prevocational hospital training, then Royal Australasian College of Physicians advanced training in palliative medicine and fellowship (FRACP).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