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Patent Attorney</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Patent attorney with a technical background and legal training in intellectual property law, experienced in drafting patent specifications and managing applications through IP Australia and international offices. Comfortable translating complex scientific or engineering concepts into claims that hold up under examination and opposition. Works closely with inventors and commercial teams to align patent strategy with business goals.</w:t>
      </w:r>
    </w:p>
    <w:p>
      <w:pPr>
        <w:spacing w:before="280" w:after="120"/>
        <w:jc w:val="left"/>
        <w:pBdr>
          <w:bottom w:val="single" w:sz="6" w:space="4" w:color="DFDED8"/>
        </w:pBdr>
      </w:pPr>
      <w:r>
        <w:rPr>
          <w:b/>
          <w:color w:val="2F62D9"/>
          <w:sz w:val="22"/>
        </w:rPr>
        <w:t>KEY SKILLS</w:t>
      </w:r>
    </w:p>
    <w:p>
      <w:pPr>
        <w:spacing w:before="0" w:after="200"/>
        <w:jc w:val="left"/>
      </w:pPr>
      <w:r>
        <w:t>Patent drafting and claims construction   •   Prior-art searching and patentability assessment   •   Patent prosecution and opposition proceedings   •   Legal research and regulatory compliance   •   Client advisory on infringement and licensing risk   •   IP Australia online filing portal   •   Thomson Innovation patent search   •   LexisNexis   •   WIPO Global Brand Database   •   Microsoft Word and SharePoint for document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Patent Attorney</w:t>
      </w:r>
      <w:r>
        <w:t>, [Company Name], [City]</w:t>
      </w:r>
      <w:r>
        <w:rPr>
          <w:i/>
        </w:rPr>
        <w:tab/>
        <w:t>[Month Year] – [Month Year / Present]</w:t>
      </w:r>
    </w:p>
    <w:p>
      <w:pPr>
        <w:pStyle w:val="ListBullet"/>
        <w:spacing w:after="80" w:line="276" w:lineRule="auto"/>
      </w:pPr>
      <w:r>
        <w:t>Drafted patent specifications and claims across a range of technical fields, balancing broad protection with defensibility against examiner objections</w:t>
      </w:r>
    </w:p>
    <w:p>
      <w:pPr>
        <w:pStyle w:val="ListBullet"/>
        <w:spacing w:after="80" w:line="276" w:lineRule="auto"/>
      </w:pPr>
      <w:r>
        <w:t>Filed and prosecuted applications through IP Australia and, where relevant, international routes including the PCT, tracking deadlines across multiple jurisdictions</w:t>
      </w:r>
    </w:p>
    <w:p>
      <w:pPr>
        <w:pStyle w:val="ListBullet"/>
        <w:spacing w:after="80" w:line="276" w:lineRule="auto"/>
      </w:pPr>
      <w:r>
        <w:t>Conducted prior-art searches and freedom-to-operate analyses using Thomson Innovation and LexisNexis to inform client filing decisions</w:t>
      </w:r>
    </w:p>
    <w:p>
      <w:pPr>
        <w:pStyle w:val="ListBullet"/>
        <w:spacing w:after="80" w:line="276" w:lineRule="auto"/>
      </w:pPr>
      <w:r>
        <w:t>Advised clients on patent strategy, licensing options and infringement risk, translating technical findings into plain commercial advice</w:t>
      </w:r>
    </w:p>
    <w:p>
      <w:pPr>
        <w:pStyle w:val="ListBullet"/>
        <w:spacing w:after="80" w:line="276" w:lineRule="auto"/>
      </w:pPr>
      <w:r>
        <w:t>Represented clients in opposition proceedings before IP Australia, preparing evidence and submissions to defend or challenge granted patents</w:t>
      </w:r>
    </w:p>
    <w:p>
      <w:pPr>
        <w:pStyle w:val="ListBullet"/>
        <w:spacing w:after="240" w:line="276" w:lineRule="auto"/>
      </w:pPr>
      <w:r>
        <w:t>Managed a caseload of concurrent matters at different prosecution stages without missing statutory deadlines</w:t>
      </w:r>
    </w:p>
    <w:p>
      <w:pPr>
        <w:spacing w:before="280" w:after="120"/>
        <w:jc w:val="left"/>
        <w:pBdr>
          <w:bottom w:val="single" w:sz="6" w:space="4" w:color="DFDED8"/>
        </w:pBdr>
      </w:pPr>
      <w:r>
        <w:rPr>
          <w:b/>
          <w:color w:val="2F62D9"/>
          <w:sz w:val="22"/>
        </w:rPr>
        <w:t>EDUCATION</w:t>
      </w:r>
    </w:p>
    <w:p>
      <w:pPr>
        <w:spacing w:before="0" w:after="200"/>
        <w:jc w:val="left"/>
      </w:pPr>
      <w:r>
        <w:t>Bachelor degree in science, engineering or a related technical field, followed by a Graduate Diploma in Intellectual Property Law and registration as a patent attorney with the Trans-Tasman IP Attorneys Board (TTIPAB) after passing the qualifying exams.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