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Pathologist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Pathologist with specialist training in anatomical and clinical pathology, experienced in examining tissue biopsies, interpreting blood and biochemical tests, and consulting with treating clinicians to guide diagnosis and treatment. Committed to laboratory quality control and accurate reporting that supports patient care.</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Laboratory analysis   •   Data analysis   •   Regulatory compliance   •   Laboratory information systems   •   Digital pathology scanners   •   Light microscopes   •   Immunohistochemistry platforms   •   Next-generation sequencing instruments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Pathologist</w:t>
      </w:r>
      <w:r>
        <w:t>, [Company Name], [City]</w:t>
      </w:r>
      <w:r>
        <w:rPr>
          <w:i/>
        </w:rPr>
        <w:tab/>
        <w:t>[Month Year] – [Month Year / Present]</w:t>
      </w:r>
    </w:p>
    <w:p>
      <w:pPr>
        <w:pStyle w:val="ListBullet"/>
        <w:spacing w:after="80" w:line="276" w:lineRule="auto"/>
      </w:pPr>
      <w:r>
        <w:t>Examined tissue biopsies under a microscope to identify disease, accurately distinguishing benign from malignant lesions.</w:t>
      </w:r>
    </w:p>
    <w:p>
      <w:pPr>
        <w:pStyle w:val="ListBullet"/>
        <w:spacing w:after="80" w:line="276" w:lineRule="auto"/>
      </w:pPr>
      <w:r>
        <w:t>Interpreted blood and biochemical test results, correlating findings with clinical history to support diagnosis.</w:t>
      </w:r>
    </w:p>
    <w:p>
      <w:pPr>
        <w:pStyle w:val="ListBullet"/>
        <w:spacing w:after="80" w:line="276" w:lineRule="auto"/>
      </w:pPr>
      <w:r>
        <w:t>Performed autopsies to determine cause of death, producing clear reports for coronial and clinical use.</w:t>
      </w:r>
    </w:p>
    <w:p>
      <w:pPr>
        <w:pStyle w:val="ListBullet"/>
        <w:spacing w:after="80" w:line="276" w:lineRule="auto"/>
      </w:pPr>
      <w:r>
        <w:t>Consulted with treating clinicians on diagnosis and staging, improving treatment planning for complex cases.</w:t>
      </w:r>
    </w:p>
    <w:p>
      <w:pPr>
        <w:pStyle w:val="ListBullet"/>
        <w:spacing w:after="80" w:line="276" w:lineRule="auto"/>
      </w:pPr>
      <w:r>
        <w:t>Supervised laboratory quality control and testing protocols, reducing diagnostic discrepancies across a team of eight pathologists.</w:t>
      </w:r>
    </w:p>
    <w:p>
      <w:pPr>
        <w:pStyle w:val="ListBullet"/>
        <w:spacing w:after="80" w:line="276" w:lineRule="auto"/>
      </w:pPr>
      <w:r>
        <w:t>Streamlined immunohistochemistry workflow, cutting turnaround time from five days to three for urgent cases.</w:t>
      </w:r>
    </w:p>
    <w:p>
      <w:pPr>
        <w:pStyle w:val="ListBullet"/>
        <w:spacing w:after="240" w:line="276" w:lineRule="auto"/>
      </w:pPr>
      <w:r>
        <w:t>Maintained compliance with ISO 15189 standards, ensuring accreditation readiness during external assessments.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specialist training with the Royal College of Pathologists of Australasia (RCPA) and fellowship.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