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Personal Trainer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Personal trainer who designs tailored strength, conditioning and weight-loss programs for individual and small-group clients. Skilled at assessing fitness levels and medical history, correcting technique, and keeping clients accountable over the long haul. Comfortable working across gym floors, studios and private in-home sessions.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Fitness coaching and instruction   •   Health education and advice   •   Exercise program design and periodisation   •   Free weights, dumbbells and resistance machines   •   Fitness tracking apps and heart-rate monitors   •   Client management software   •   Client relationships and advisory   •   Empathy and interpersonal care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Personal Trainer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client fitness levels and medical history to design individualised strength, conditioning and weight-loss programs</w:t>
      </w:r>
    </w:p>
    <w:p>
      <w:pPr>
        <w:pStyle w:val="ListBullet"/>
        <w:spacing w:after="80" w:line="276" w:lineRule="auto"/>
      </w:pPr>
      <w:r>
        <w:t>Demonstrated correct exercise technique and provided spotting during resistance and free-weight sessions to reduce injury risk</w:t>
      </w:r>
    </w:p>
    <w:p>
      <w:pPr>
        <w:pStyle w:val="ListBullet"/>
        <w:spacing w:after="80" w:line="276" w:lineRule="auto"/>
      </w:pPr>
      <w:r>
        <w:t>Tracked client progress with fitness apps and heart-rate monitors, adjusting programs in response to performance and feedback</w:t>
      </w:r>
    </w:p>
    <w:p>
      <w:pPr>
        <w:pStyle w:val="ListBullet"/>
        <w:spacing w:after="80" w:line="276" w:lineRule="auto"/>
      </w:pPr>
      <w:r>
        <w:t>Built long-term client relationships through consistent motivation and accountability, supporting retention and repeat bookings</w:t>
      </w:r>
    </w:p>
    <w:p>
      <w:pPr>
        <w:pStyle w:val="ListBullet"/>
        <w:spacing w:after="240" w:line="276" w:lineRule="auto"/>
      </w:pPr>
      <w:r>
        <w:t>Maintained accurate client records and session notes in client management software to support progress reviews and program updates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Certificate III and Certificate IV in Fitness through a registered training organisation, followed by AUSactive (formerly Fitness Australia) registration; some trainers enter via a Bachelor degree in exercise or sport science.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