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Pest Controller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Licensed pest controller with experience across residential, commercial and food premises, including termite management and client education. Skilled in pest identification, safe chemical application and regulatory compliance, with a strong focus on solving underlying conditions to prevent re-infestation.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Worksite safety management   •   Plant and equipment operation   •   Regulatory compliance   •   Cleaning and grounds maintenance   •   Backpack and knapsack sprayers   •   Termatrac termite detection radar   •   Thermal imaging cameras   •   PestPac   •   ServSuite   •   Customer service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Pest Controller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thorough inspections of residential and commercial premises, identifying pest species and assessing infestation levels to determine appropriate treatment plans.</w:t>
      </w:r>
    </w:p>
    <w:p>
      <w:pPr>
        <w:pStyle w:val="ListBullet"/>
        <w:spacing w:after="80" w:line="276" w:lineRule="auto"/>
      </w:pPr>
      <w:r>
        <w:t>Applied insecticides, baits, traps and physical barriers, reducing pest activity and preventing re-infestation across a range of sites.</w:t>
      </w:r>
    </w:p>
    <w:p>
      <w:pPr>
        <w:pStyle w:val="ListBullet"/>
        <w:spacing w:after="80" w:line="276" w:lineRule="auto"/>
      </w:pPr>
      <w:r>
        <w:t>Installed and maintained termite barriers and monitoring stations, ensuring compliance with Australian Standards and reducing risk of structural damage.</w:t>
      </w:r>
    </w:p>
    <w:p>
      <w:pPr>
        <w:pStyle w:val="ListBullet"/>
        <w:spacing w:after="80" w:line="276" w:lineRule="auto"/>
      </w:pPr>
      <w:r>
        <w:t>Recorded treatments using PestPac and ServSuite, maintaining accurate service histories for client reporting and regulatory audits.</w:t>
      </w:r>
    </w:p>
    <w:p>
      <w:pPr>
        <w:pStyle w:val="ListBullet"/>
        <w:spacing w:after="80" w:line="276" w:lineRule="auto"/>
      </w:pPr>
      <w:r>
        <w:t>Advised clients on prevention and hygiene measures, improving their understanding of pest control and reducing callbacks.</w:t>
      </w:r>
    </w:p>
    <w:p>
      <w:pPr>
        <w:pStyle w:val="ListBullet"/>
        <w:spacing w:after="80" w:line="276" w:lineRule="auto"/>
      </w:pPr>
      <w:r>
        <w:t>Reduced follow-up visits by resolving underlying conditions during the initial treatment, cutting average callbacks from three to one.</w:t>
      </w:r>
    </w:p>
    <w:p>
      <w:pPr>
        <w:pStyle w:val="ListBullet"/>
        <w:spacing w:after="240" w:line="276" w:lineRule="auto"/>
      </w:pPr>
      <w:r>
        <w:t>Managed chemical storage and handling in line with safety data sheets and WHS requirements, maintaining a safe worksite.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Pest Management, plus current state or territory pest management licence and ongoing training in chemical handling and termite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