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Petroleum Engineer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Petroleum engineer with experience across reservoir, drilling and production work, currently focused on simulation and production optimisation. Comfortable moving between the asset team and the rig floor, and used to working inside NOPSEMA and state regulator frameworks on onshore and offshore assets. Looking to take on more responsibility for field development planning and reserves work.</w:t>
      </w:r>
    </w:p>
    <w:p>
      <w:pPr>
        <w:spacing w:before="280" w:after="120"/>
        <w:jc w:val="left"/>
        <w:pBdr>
          <w:bottom w:val="single" w:sz="6" w:space="4" w:color="DFDED8"/>
        </w:pBdr>
      </w:pPr>
      <w:r>
        <w:rPr>
          <w:b/>
          <w:color w:val="2F62D9"/>
          <w:sz w:val="22"/>
        </w:rPr>
        <w:t>KEY SKILLS</w:t>
      </w:r>
    </w:p>
    <w:p>
      <w:pPr>
        <w:spacing w:before="0" w:after="200"/>
        <w:jc w:val="left"/>
      </w:pPr>
      <w:r>
        <w:t>Reservoir simulation and history matching   •   Production optimisation and nodal analysis   •   Reserve estimation and field development planning   •   Drilling and well completion design   •   Well surveillance and production data analysis   •   Safety case and environmental compliance   •   Cost forecasting and project engineering   •   Petrel   •   Eclipse   •   OFM   •   Prosper   •   Python for production data analysis   •   Communication with drilling contractors and asset teams</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Petroleum Engineer</w:t>
      </w:r>
      <w:r>
        <w:t>, [Company Name], [City]</w:t>
      </w:r>
      <w:r>
        <w:rPr>
          <w:i/>
        </w:rPr>
        <w:tab/>
        <w:t>[Month Year] – [Month Year / Present]</w:t>
      </w:r>
    </w:p>
    <w:p>
      <w:pPr>
        <w:pStyle w:val="ListBullet"/>
        <w:spacing w:after="80" w:line="276" w:lineRule="auto"/>
      </w:pPr>
      <w:r>
        <w:t>Built and history-matched reservoir models in Eclipse for a multi-well field, narrowing the development plan from five concepts to two before the decision gate.</w:t>
      </w:r>
    </w:p>
    <w:p>
      <w:pPr>
        <w:pStyle w:val="ListBullet"/>
        <w:spacing w:after="80" w:line="276" w:lineRule="auto"/>
      </w:pPr>
      <w:r>
        <w:t>Monitored daily production through OFM, flagging underperforming wells and working with the operations team to restore output across the field.</w:t>
      </w:r>
    </w:p>
    <w:p>
      <w:pPr>
        <w:pStyle w:val="ListBullet"/>
        <w:spacing w:after="80" w:line="276" w:lineRule="auto"/>
      </w:pPr>
      <w:r>
        <w:t>Ran nodal analysis in Prosper to size tubing for a twelve-well development, cutting deferred production during start-up from weeks to days.</w:t>
      </w:r>
    </w:p>
    <w:p>
      <w:pPr>
        <w:pStyle w:val="ListBullet"/>
        <w:spacing w:after="80" w:line="276" w:lineRule="auto"/>
      </w:pPr>
      <w:r>
        <w:t>Supervised well completion operations on site, running pre-job safety briefings with the drilling crew and closing out permit-to-work actions before each stage.</w:t>
      </w:r>
    </w:p>
    <w:p>
      <w:pPr>
        <w:pStyle w:val="ListBullet"/>
        <w:spacing w:after="80" w:line="276" w:lineRule="auto"/>
      </w:pPr>
      <w:r>
        <w:t>Revised reserve estimates for two onshore blocks, tightening the uncertainty range presented to the asset team and aligning the numbers with the annual reporting cycle.</w:t>
      </w:r>
    </w:p>
    <w:p>
      <w:pPr>
        <w:pStyle w:val="ListBullet"/>
        <w:spacing w:after="80" w:line="276" w:lineRule="auto"/>
      </w:pPr>
      <w:r>
        <w:t>Prepared authorisation for expenditure submissions for three workover campaigns, working with the finance team to confirm scope, timing and contingency.</w:t>
      </w:r>
    </w:p>
    <w:p>
      <w:pPr>
        <w:pStyle w:val="ListBullet"/>
        <w:spacing w:after="240" w:line="276" w:lineRule="auto"/>
      </w:pPr>
      <w:r>
        <w:t>Assessed safety and environmental risks for a new onshore production facility, contributing to the safety case and closing out regulator queries before approval.</w:t>
      </w:r>
    </w:p>
    <w:p>
      <w:pPr>
        <w:spacing w:before="280" w:after="120"/>
        <w:jc w:val="left"/>
        <w:pBdr>
          <w:bottom w:val="single" w:sz="6" w:space="4" w:color="DFDED8"/>
        </w:pBdr>
      </w:pPr>
      <w:r>
        <w:rPr>
          <w:b/>
          <w:color w:val="2F62D9"/>
          <w:sz w:val="22"/>
        </w:rPr>
        <w:t>EDUCATION</w:t>
      </w:r>
    </w:p>
    <w:p>
      <w:pPr>
        <w:spacing w:before="0" w:after="200"/>
        <w:jc w:val="left"/>
      </w:pPr>
      <w:r>
        <w:t>Bachelor of Engineering (Honours) in petroleum, chemical or mechanical engineering from an Engineers Australia accredited program, with many petroleum engineers adding a Master of Petroleum Engineering or working toward Chartered Professional Engineer (CPEng) status.</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