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Pharmaceutical Sales Representative</w:t>
      </w:r>
    </w:p>
    <w:p>
      <w:pPr>
        <w:spacing w:before="0" w:after="240"/>
      </w:pPr>
      <w:r>
        <w:t>I am applying for the Pharmaceutical Sales Representative role at [Company Name]. With a health science background and a track record of selling into GP clinics, specialist rooms and community pharmacies, I am comfortable holding a clinical conversation and a commercial one in the same call.</w:t>
      </w:r>
    </w:p>
    <w:p>
      <w:pPr>
        <w:spacing w:before="0" w:after="240"/>
      </w:pPr>
      <w:r>
        <w:t>In my most recent territory I inherited a patch where several high-prescribing clinics had gone more than a year without a representative visit. I rebuilt the call cycle around PBS prescribing data and CRM history, prioritised the clinics with the largest patient cohorts in our therapeutic area, and worked a structured follow-up sequence rather than one-off drop-ins. Within two cycles those clinics were back to regular detailing appointments, and the feedback I collected on dosing questions from two of them went back to our medical affairs team and shaped how we framed the efficacy data in later calls. I kept every claim within approved product information and the Medicines Australia Code of Conduct throughout, which meant prescribers trusted what I brought them.</w:t>
      </w:r>
    </w:p>
    <w:p>
      <w:pPr>
        <w:spacing w:before="0" w:after="240"/>
      </w:pPr>
      <w:r>
        <w:t>The reason I want to work with [Company Name] specifically is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and sets out my territory results, CRM and reporting experience, and product knowledge in more detail, and I would welcome the chance to discuss the territory with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