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Pharmaceutical Sales Representative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Pharmaceutical sales representative with a clinical-literate approach to territory selling, building trusted relationships with GPs, specialists, pharmacists and hospital formulary decision makers. Comfortable presenting trial data and efficacy evidence within the Medicines Australia Code of Conduct, and disciplined about logging calls, tracking prescribing patterns and reporting territory performance against quota. Brings a science or health background to conversations where credibility matters as much as closing skill.</w:t>
      </w:r>
    </w:p>
    <w:p>
      <w:pPr>
        <w:spacing w:before="280" w:after="120"/>
        <w:jc w:val="left"/>
        <w:pBdr>
          <w:bottom w:val="single" w:sz="6" w:space="4" w:color="DFDED8"/>
        </w:pBdr>
      </w:pPr>
      <w:r>
        <w:rPr>
          <w:b/>
          <w:color w:val="2F62D9"/>
          <w:sz w:val="22"/>
        </w:rPr>
        <w:t>KEY SKILLS</w:t>
      </w:r>
    </w:p>
    <w:p>
      <w:pPr>
        <w:spacing w:before="0" w:after="200"/>
        <w:jc w:val="left"/>
      </w:pPr>
      <w:r>
        <w:t>Selling and negotiation   •   Account and relationship management   •   Territory planning and call cycle management   •   Data analysis of prescribing and sales trends   •   Salesforce CRM (and Veeva-style pharma CRM)   •   Territory management software   •   Microsoft PowerPoint and scientific slide decks   •   Clinical database and literature tools   •   Presenting and data storytelling   •   Written communication for medical and internal audiences   •   Problem solving within compliance boundaries   •   Client relationships and advisory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Pharmaceutical Sales Representative</w:t>
      </w:r>
      <w:r>
        <w:t>, [Company Name], [City]</w:t>
      </w:r>
      <w:r>
        <w:rPr>
          <w:i/>
        </w:rPr>
        <w:tab/>
        <w:t>[Month Year] – [Month Year / Present]</w:t>
      </w:r>
    </w:p>
    <w:p>
      <w:pPr>
        <w:pStyle w:val="ListBullet"/>
        <w:spacing w:after="80" w:line="276" w:lineRule="auto"/>
      </w:pPr>
      <w:r>
        <w:t>Managed a defined metropolitan territory of GPs, specialists and pharmacies, running a structured call cycle and lifting active prescribers across the patch over successive quarters</w:t>
      </w:r>
    </w:p>
    <w:p>
      <w:pPr>
        <w:pStyle w:val="ListBullet"/>
        <w:spacing w:after="80" w:line="276" w:lineRule="auto"/>
      </w:pPr>
      <w:r>
        <w:t>Presented clinical trial data and comparative efficacy evidence to prescribers in line with Medicines Australia Code of Conduct requirements, keeping every claim to approved product information</w:t>
      </w:r>
    </w:p>
    <w:p>
      <w:pPr>
        <w:pStyle w:val="ListBullet"/>
        <w:spacing w:after="80" w:line="276" w:lineRule="auto"/>
      </w:pPr>
      <w:r>
        <w:t>Built and maintained a segmented account plan in Salesforce CRM, logging call frequency and outcomes so the national team could see prescribing movement by clinic</w:t>
      </w:r>
    </w:p>
    <w:p>
      <w:pPr>
        <w:pStyle w:val="ListBullet"/>
        <w:spacing w:after="80" w:line="276" w:lineRule="auto"/>
      </w:pPr>
      <w:r>
        <w:t>Relayed prescriber feedback on side effects, dosing and unmet patient needs to the product and medical affairs teams, which informed updates to detailing materials</w:t>
      </w:r>
    </w:p>
    <w:p>
      <w:pPr>
        <w:pStyle w:val="ListBullet"/>
        <w:spacing w:after="80" w:line="276" w:lineRule="auto"/>
      </w:pPr>
      <w:r>
        <w:t>Attended product launches, medical conferences and internal training days to stay current on new formulations, PBS listing changes and competitor activity</w:t>
      </w:r>
    </w:p>
    <w:p>
      <w:pPr>
        <w:pStyle w:val="ListBullet"/>
        <w:spacing w:after="240" w:line="276" w:lineRule="auto"/>
      </w:pPr>
      <w:r>
        <w:t>Negotiated pharmacy stocking and display support with pharmacy managers to keep supply and shelf presence aligned with prescribing demand</w:t>
      </w:r>
    </w:p>
    <w:p>
      <w:pPr>
        <w:spacing w:before="280" w:after="120"/>
        <w:jc w:val="left"/>
        <w:pBdr>
          <w:bottom w:val="single" w:sz="6" w:space="4" w:color="DFDED8"/>
        </w:pBdr>
      </w:pPr>
      <w:r>
        <w:rPr>
          <w:b/>
          <w:color w:val="2F62D9"/>
          <w:sz w:val="22"/>
        </w:rPr>
        <w:t>EDUCATION</w:t>
      </w:r>
    </w:p>
    <w:p>
      <w:pPr>
        <w:spacing w:before="0" w:after="200"/>
        <w:jc w:val="left"/>
      </w:pPr>
      <w:r>
        <w:t>Bachelor degree in science, pharmacy, biomedical science or a health-related field is the most common pathway, with some representatives entering through a business or commerce degree and others after a diploma plus a strong sales record; postgraduate study in a clinical or commercial discipline is well regarded.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