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Pharmacist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Registered pharmacist experienced in prescription review, patient counselling and medication safety across community and hospital settings. Comfortable managing high dispensing volumes while maintaining strict accuracy and compliance with the Poisons Standard. Known for clear patient communication and close collaboration with GPs and nursing staff on therapy decisions.</w:t>
      </w:r>
    </w:p>
    <w:p>
      <w:pPr>
        <w:spacing w:before="280" w:after="120"/>
        <w:jc w:val="left"/>
        <w:pBdr>
          <w:bottom w:val="single" w:sz="6" w:space="4" w:color="DFDED8"/>
        </w:pBdr>
      </w:pPr>
      <w:r>
        <w:rPr>
          <w:b/>
          <w:color w:val="2F62D9"/>
          <w:sz w:val="22"/>
        </w:rPr>
        <w:t>KEY SKILLS</w:t>
      </w:r>
    </w:p>
    <w:p>
      <w:pPr>
        <w:spacing w:before="0" w:after="200"/>
        <w:jc w:val="left"/>
      </w:pPr>
      <w:r>
        <w:t>Medication management and dispensing   •   Clinical assessment of prescriptions for interactions and dosing errors   •   Patient counselling and health education   •   Regulatory compliance (Poisons Standard, S8 handling)   •   Compounding to pharmaceutical standards   •   Pharmacy management software (Dispense, PBS Online)   •   Medication interaction checking (Micromedex, UpToDate)   •   Electronic health records and barcode dispensing systems   •   Attention to detail   •   Problem solving under time pressure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Pharmacist</w:t>
      </w:r>
      <w:r>
        <w:t>, [Company Name], [City]</w:t>
      </w:r>
      <w:r>
        <w:rPr>
          <w:i/>
        </w:rPr>
        <w:tab/>
        <w:t>[Month Year] – [Month Year / Present]</w:t>
      </w:r>
    </w:p>
    <w:p>
      <w:pPr>
        <w:pStyle w:val="ListBullet"/>
        <w:spacing w:after="80" w:line="276" w:lineRule="auto"/>
      </w:pPr>
      <w:r>
        <w:t>Reviewed prescriptions daily for drug interactions, dosing errors and clinical appropriateness, escalating concerns to prescribers before dispensing</w:t>
      </w:r>
    </w:p>
    <w:p>
      <w:pPr>
        <w:pStyle w:val="ListBullet"/>
        <w:spacing w:after="80" w:line="276" w:lineRule="auto"/>
      </w:pPr>
      <w:r>
        <w:t>Counselled patients on medication administration, side effects and adherence, reducing repeat callback queries on common therapies</w:t>
      </w:r>
    </w:p>
    <w:p>
      <w:pPr>
        <w:pStyle w:val="ListBullet"/>
        <w:spacing w:after="80" w:line="276" w:lineRule="auto"/>
      </w:pPr>
      <w:r>
        <w:t>Compounded and dispensed medications in line with pharmaceutical standards and Poisons Standard scheduling requirements</w:t>
      </w:r>
    </w:p>
    <w:p>
      <w:pPr>
        <w:pStyle w:val="ListBullet"/>
        <w:spacing w:after="80" w:line="276" w:lineRule="auto"/>
      </w:pPr>
      <w:r>
        <w:t>Managed inventory and stock rotation using pharmacy software, cutting expired-stock wastage through tighter expiry tracking</w:t>
      </w:r>
    </w:p>
    <w:p>
      <w:pPr>
        <w:pStyle w:val="ListBullet"/>
        <w:spacing w:after="80" w:line="276" w:lineRule="auto"/>
      </w:pPr>
      <w:r>
        <w:t>Liaised with doctors and nurses on medication therapy optimisation, contributing to safer discharge and care plans</w:t>
      </w:r>
    </w:p>
    <w:p>
      <w:pPr>
        <w:pStyle w:val="ListBullet"/>
        <w:spacing w:after="240" w:line="276" w:lineRule="auto"/>
      </w:pPr>
      <w:r>
        <w:t>Delivered vaccinations and medication reviews as part of extended scope clinical services</w:t>
      </w:r>
    </w:p>
    <w:p>
      <w:pPr>
        <w:spacing w:before="280" w:after="120"/>
        <w:jc w:val="left"/>
        <w:pBdr>
          <w:bottom w:val="single" w:sz="6" w:space="4" w:color="DFDED8"/>
        </w:pBdr>
      </w:pPr>
      <w:r>
        <w:rPr>
          <w:b/>
          <w:color w:val="2F62D9"/>
          <w:sz w:val="22"/>
        </w:rPr>
        <w:t>EDUCATION</w:t>
      </w:r>
    </w:p>
    <w:p>
      <w:pPr>
        <w:spacing w:before="0" w:after="200"/>
        <w:jc w:val="left"/>
      </w:pPr>
      <w:r>
        <w:t>Bachelor of Pharmacy or Master of Pharmacy, completion of a supervised intern year, and registration with the Pharmacy Board of Australia via AHPRA.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