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Probation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Probation Officer with experience conducting risk assessments and managing rehabilitation plans for offenders under community-based orders and parole. Skilled at balancing enforcement obligations with client casework, and comfortable liaising with courts, police and support agencies to keep case progress on track. Focused on community safety outcomes without losing sight of the individual in front of me.</w:t>
      </w:r>
    </w:p>
    <w:p>
      <w:pPr>
        <w:spacing w:before="280" w:after="120"/>
        <w:jc w:val="left"/>
        <w:pBdr>
          <w:bottom w:val="single" w:sz="6" w:space="4" w:color="DFDED8"/>
        </w:pBdr>
      </w:pPr>
      <w:r>
        <w:rPr>
          <w:b/>
          <w:color w:val="2F62D9"/>
          <w:sz w:val="22"/>
        </w:rPr>
        <w:t>KEY SKILLS</w:t>
      </w:r>
    </w:p>
    <w:p>
      <w:pPr>
        <w:spacing w:before="0" w:after="200"/>
        <w:jc w:val="left"/>
      </w:pPr>
      <w:r>
        <w:t>Risk and needs assessment (Level of Service, OASys frameworks)   •   Casework and client support   •   Regulatory compliance and court order monitoring   •   Rehabilitation and supervision plan development   •   Stakeholder liaison with courts, police and service providers   •   Case management software (Delius, CorrectionsLink)   •   Report writing for sentencing and parole reviews   •   Microsoft Office and corrections databases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Probation Officer</w:t>
      </w:r>
      <w:r>
        <w:t>, [Company Name], [City]</w:t>
      </w:r>
      <w:r>
        <w:rPr>
          <w:i/>
        </w:rPr>
        <w:tab/>
        <w:t>[Month Year] – [Month Year / Present]</w:t>
      </w:r>
    </w:p>
    <w:p>
      <w:pPr>
        <w:pStyle w:val="ListBullet"/>
        <w:spacing w:after="80" w:line="276" w:lineRule="auto"/>
      </w:pPr>
      <w:r>
        <w:t>Conducted risk and needs assessments for a caseload of sentenced offenders using standardised frameworks, informing supervision intensity and referral decisions</w:t>
      </w:r>
    </w:p>
    <w:p>
      <w:pPr>
        <w:pStyle w:val="ListBullet"/>
        <w:spacing w:after="80" w:line="276" w:lineRule="auto"/>
      </w:pPr>
      <w:r>
        <w:t>Developed and reviewed individualised rehabilitation plans, coordinating with employment, housing and treatment providers to address underlying drivers of offending</w:t>
      </w:r>
    </w:p>
    <w:p>
      <w:pPr>
        <w:pStyle w:val="ListBullet"/>
        <w:spacing w:after="80" w:line="276" w:lineRule="auto"/>
      </w:pPr>
      <w:r>
        <w:t>Monitored compliance with court-imposed and parole conditions, identifying breaches early and escalating through the correct statutory channels</w:t>
      </w:r>
    </w:p>
    <w:p>
      <w:pPr>
        <w:pStyle w:val="ListBullet"/>
        <w:spacing w:after="80" w:line="276" w:lineRule="auto"/>
      </w:pPr>
      <w:r>
        <w:t>Prepared case progress reports and parole review submissions, presenting evidence-based recommendations to courts and parole boards</w:t>
      </w:r>
    </w:p>
    <w:p>
      <w:pPr>
        <w:pStyle w:val="ListBullet"/>
        <w:spacing w:after="240" w:line="276" w:lineRule="auto"/>
      </w:pPr>
      <w:r>
        <w:t>Liaised with police, courts and community service providers to coordinate offender management and respond to emerging risk</w:t>
      </w:r>
    </w:p>
    <w:p>
      <w:pPr>
        <w:spacing w:before="280" w:after="120"/>
        <w:jc w:val="left"/>
        <w:pBdr>
          <w:bottom w:val="single" w:sz="6" w:space="4" w:color="DFDED8"/>
        </w:pBdr>
      </w:pPr>
      <w:r>
        <w:rPr>
          <w:b/>
          <w:color w:val="2F62D9"/>
          <w:sz w:val="22"/>
        </w:rPr>
        <w:t>EDUCATION</w:t>
      </w:r>
    </w:p>
    <w:p>
      <w:pPr>
        <w:spacing w:before="0" w:after="200"/>
        <w:jc w:val="left"/>
      </w:pPr>
      <w:r>
        <w:t>A bachelor degree in criminology, social work, psychology or a related field is the most common pathway, with Certificate III/IV, diploma and postgraduate entry points also recognised by state and territory corrections agencies.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