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Prosthodontist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Prosthodontist with specialist registration and a focus on complex restorative and implant dentistry. Experienced in digital workflows and collaborative care, helping patients regain function and confidence. Committed to evidence-based treatment and ongoing professional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planning for complex restorative cases   •   Implant-supported prostheses design and fitting   •   Digital scanning and CAD/CAM workflows (3Shape TRIOS, CEREC, exocad)   •   Patient care and support throughout rehabilitation   •   Care planning and coordination with dental technicians and specialists   •   Infection control and hygiene protocols   •   Practice management software (Dentrix, Planmeca Romexis)   •   Attention to detail in occlusal and aesthetic outcomes   •   Written communication for referrals and patient records   •   Problem solving in challenging bite and trauma cases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Prosthodontist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Restored function and aesthetics for patients with complex tooth loss using implant-supported crowns and bridges, achieving high patient satisfaction and referral growth.</w:t>
      </w:r>
    </w:p>
    <w:p>
      <w:pPr>
        <w:pStyle w:val="ListBullet"/>
        <w:spacing w:after="80" w:line="276" w:lineRule="auto"/>
      </w:pPr>
      <w:r>
        <w:t>Designed and fitted removable prostheses for edentulous patients, reducing adjustment visits through precise digital scanning and technician collaboration.</w:t>
      </w:r>
    </w:p>
    <w:p>
      <w:pPr>
        <w:pStyle w:val="ListBullet"/>
        <w:spacing w:after="80" w:line="276" w:lineRule="auto"/>
      </w:pPr>
      <w:r>
        <w:t>Implemented digital scanning workflows with 3Shape TRIOS, cutting impression time and improving patient comfort during restorative procedures.</w:t>
      </w:r>
    </w:p>
    <w:p>
      <w:pPr>
        <w:pStyle w:val="ListBullet"/>
        <w:spacing w:after="80" w:line="276" w:lineRule="auto"/>
      </w:pPr>
      <w:r>
        <w:t>Managed occlusal rehabilitation cases involving trauma and congenital conditions, coordinating with oral surgeons and orthodontists for integrated care.</w:t>
      </w:r>
    </w:p>
    <w:p>
      <w:pPr>
        <w:pStyle w:val="ListBullet"/>
        <w:spacing w:after="80" w:line="276" w:lineRule="auto"/>
      </w:pPr>
      <w:r>
        <w:t>Collaborated with dental technicians on prosthesis fabrication, reducing remake rates by refining shade and fit protocols.</w:t>
      </w:r>
    </w:p>
    <w:p>
      <w:pPr>
        <w:pStyle w:val="ListBullet"/>
        <w:spacing w:after="240" w:line="276" w:lineRule="auto"/>
      </w:pPr>
      <w:r>
        <w:t>Maintained infection control and hygiene standards across all procedures, ensuring compliance with AHPRA and practice guidelines.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Dental Surgery or Doctor of Dental Medicine, followed by a Doctor of Clinical Dentistry in Prosthodontics and specialist registration with the Dental Board of Australia (AHPRA).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